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charts/chart1.xml" ContentType="application/vnd.openxmlformats-officedocument.drawingml.chart+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4A5912" w14:textId="14CD4112" w:rsidR="000D1B9A" w:rsidRPr="007072FB" w:rsidRDefault="00000000">
      <w:pPr>
        <w:rPr>
          <w:rFonts w:ascii="Verdana" w:eastAsia="华文细黑" w:hAnsi="Verdana" w:cs="Calibri"/>
          <w:b/>
          <w:color w:val="000000"/>
          <w:sz w:val="32"/>
        </w:rPr>
      </w:pPr>
      <w:r w:rsidRPr="007072FB">
        <w:rPr>
          <w:rFonts w:ascii="Verdana" w:eastAsia="华文细黑" w:hAnsi="Verdana" w:cs="Calibri"/>
          <w:noProof/>
          <w:color w:val="FFFFFF"/>
        </w:rPr>
        <w:drawing>
          <wp:inline distT="0" distB="0" distL="0" distR="0" wp14:anchorId="108284A3" wp14:editId="4E65225D">
            <wp:extent cx="1876425" cy="341630"/>
            <wp:effectExtent l="0" t="0" r="9525"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876425" cy="341630"/>
                    </a:xfrm>
                    <a:prstGeom prst="rect">
                      <a:avLst/>
                    </a:prstGeom>
                    <a:noFill/>
                    <a:ln>
                      <a:noFill/>
                    </a:ln>
                  </pic:spPr>
                </pic:pic>
              </a:graphicData>
            </a:graphic>
          </wp:inline>
        </w:drawing>
      </w:r>
      <w:r w:rsidRPr="007072FB">
        <w:rPr>
          <w:rFonts w:ascii="Verdana" w:eastAsia="华文细黑" w:hAnsi="Verdana" w:cs="Calibri"/>
          <w:color w:val="FFFFFF"/>
        </w:rPr>
        <w:t xml:space="preserve">                                           </w:t>
      </w:r>
      <w:r w:rsidR="00A936B8">
        <w:rPr>
          <w:rFonts w:ascii="Verdana" w:eastAsia="华文细黑" w:hAnsi="Verdana" w:cs="Calibri" w:hint="eastAsia"/>
          <w:color w:val="FFFFFF"/>
        </w:rPr>
        <w:t xml:space="preserve">       </w:t>
      </w:r>
      <w:r w:rsidRPr="007072FB">
        <w:rPr>
          <w:rFonts w:ascii="Verdana" w:eastAsia="华文细黑" w:hAnsi="Verdana" w:cs="Calibri"/>
          <w:color w:val="FFFFFF"/>
        </w:rPr>
        <w:t xml:space="preserve">    </w:t>
      </w:r>
      <w:r w:rsidRPr="007072FB">
        <w:rPr>
          <w:rFonts w:ascii="Verdana" w:eastAsia="华文细黑" w:hAnsi="Verdana" w:cs="Calibri"/>
          <w:noProof/>
          <w:color w:val="FFFFFF"/>
        </w:rPr>
        <w:drawing>
          <wp:inline distT="0" distB="0" distL="0" distR="0" wp14:anchorId="4B1D5BC5" wp14:editId="405677B2">
            <wp:extent cx="683895" cy="334010"/>
            <wp:effectExtent l="0" t="0" r="1905"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683895" cy="334010"/>
                    </a:xfrm>
                    <a:prstGeom prst="rect">
                      <a:avLst/>
                    </a:prstGeom>
                    <a:noFill/>
                    <a:ln>
                      <a:noFill/>
                    </a:ln>
                  </pic:spPr>
                </pic:pic>
              </a:graphicData>
            </a:graphic>
          </wp:inline>
        </w:drawing>
      </w:r>
    </w:p>
    <w:p w14:paraId="7847BBC3" w14:textId="77777777" w:rsidR="000D1B9A" w:rsidRPr="007072FB" w:rsidRDefault="000D1B9A">
      <w:pPr>
        <w:jc w:val="center"/>
        <w:rPr>
          <w:rFonts w:ascii="Verdana" w:eastAsia="华文细黑" w:hAnsi="Verdana" w:cs="Calibri"/>
          <w:b/>
          <w:color w:val="000000"/>
          <w:sz w:val="32"/>
        </w:rPr>
      </w:pPr>
    </w:p>
    <w:p w14:paraId="72FB18D4" w14:textId="77777777" w:rsidR="000D1B9A" w:rsidRPr="007072FB" w:rsidRDefault="000D1B9A">
      <w:pPr>
        <w:jc w:val="center"/>
        <w:rPr>
          <w:rFonts w:ascii="Verdana" w:eastAsia="华文细黑" w:hAnsi="Verdana" w:cs="Calibri"/>
          <w:b/>
          <w:sz w:val="40"/>
        </w:rPr>
      </w:pPr>
    </w:p>
    <w:p w14:paraId="25F479EC" w14:textId="77777777" w:rsidR="000D1B9A" w:rsidRPr="007072FB" w:rsidRDefault="000D1B9A">
      <w:pPr>
        <w:jc w:val="center"/>
        <w:rPr>
          <w:rFonts w:ascii="Verdana" w:eastAsia="华文细黑" w:hAnsi="Verdana" w:cs="Calibri"/>
          <w:b/>
          <w:sz w:val="40"/>
        </w:rPr>
      </w:pPr>
    </w:p>
    <w:p w14:paraId="2EF624C8" w14:textId="77777777" w:rsidR="000D1B9A" w:rsidRPr="007072FB" w:rsidRDefault="000D1B9A">
      <w:pPr>
        <w:jc w:val="center"/>
        <w:rPr>
          <w:rFonts w:ascii="Verdana" w:eastAsia="华文细黑" w:hAnsi="Verdana" w:cs="Calibri"/>
          <w:b/>
          <w:sz w:val="40"/>
        </w:rPr>
      </w:pPr>
    </w:p>
    <w:p w14:paraId="06AF5054" w14:textId="77777777" w:rsidR="00A936B8" w:rsidRDefault="00A936B8" w:rsidP="00A936B8">
      <w:pPr>
        <w:jc w:val="center"/>
        <w:rPr>
          <w:rFonts w:ascii="Verdana" w:eastAsia="华文细黑" w:hAnsi="Verdana" w:cs="Calibri"/>
          <w:b/>
          <w:sz w:val="40"/>
        </w:rPr>
      </w:pPr>
      <w:bookmarkStart w:id="0" w:name="_Hlk184299857"/>
      <w:bookmarkStart w:id="1" w:name="_Hlk150161589"/>
      <w:bookmarkStart w:id="2" w:name="_Hlk150161664"/>
      <w:r w:rsidRPr="00A936B8">
        <w:rPr>
          <w:rFonts w:ascii="Verdana" w:eastAsia="华文细黑" w:hAnsi="Verdana" w:cs="Calibri"/>
          <w:b/>
          <w:sz w:val="40"/>
        </w:rPr>
        <w:t>2024</w:t>
      </w:r>
      <w:r w:rsidRPr="00A936B8">
        <w:rPr>
          <w:rFonts w:ascii="Verdana" w:eastAsia="华文细黑" w:hAnsi="Verdana" w:cs="Calibri" w:hint="eastAsia"/>
          <w:b/>
          <w:sz w:val="40"/>
        </w:rPr>
        <w:t>年海南省政府专项债券（二十四期）</w:t>
      </w:r>
    </w:p>
    <w:p w14:paraId="37CC9EDA" w14:textId="189C92F2" w:rsidR="00A936B8" w:rsidRPr="001B2830" w:rsidRDefault="00A936B8" w:rsidP="00A936B8">
      <w:pPr>
        <w:jc w:val="center"/>
        <w:rPr>
          <w:rFonts w:ascii="Verdana" w:eastAsia="华文细黑" w:hAnsi="Verdana" w:cs="Calibri"/>
          <w:b/>
          <w:sz w:val="40"/>
        </w:rPr>
      </w:pPr>
      <w:r w:rsidRPr="00A936B8">
        <w:rPr>
          <w:rFonts w:ascii="Verdana" w:eastAsia="华文细黑" w:hAnsi="Verdana" w:cs="Calibri"/>
          <w:b/>
          <w:sz w:val="40"/>
        </w:rPr>
        <w:t>2024</w:t>
      </w:r>
      <w:r w:rsidRPr="00A936B8">
        <w:rPr>
          <w:rFonts w:ascii="Verdana" w:eastAsia="华文细黑" w:hAnsi="Verdana" w:cs="Calibri" w:hint="eastAsia"/>
          <w:b/>
          <w:sz w:val="40"/>
        </w:rPr>
        <w:t>年海南省政府专项债券（二十</w:t>
      </w:r>
      <w:r>
        <w:rPr>
          <w:rFonts w:ascii="Verdana" w:eastAsia="华文细黑" w:hAnsi="Verdana" w:cs="Calibri" w:hint="eastAsia"/>
          <w:b/>
          <w:sz w:val="40"/>
        </w:rPr>
        <w:t>五</w:t>
      </w:r>
      <w:r w:rsidRPr="00A936B8">
        <w:rPr>
          <w:rFonts w:ascii="Verdana" w:eastAsia="华文细黑" w:hAnsi="Verdana" w:cs="Calibri" w:hint="eastAsia"/>
          <w:b/>
          <w:sz w:val="40"/>
        </w:rPr>
        <w:t>期）</w:t>
      </w:r>
    </w:p>
    <w:p w14:paraId="2EC22E38" w14:textId="77777777" w:rsidR="00E264A5" w:rsidRDefault="00E264A5" w:rsidP="00E264A5">
      <w:pPr>
        <w:jc w:val="center"/>
        <w:rPr>
          <w:rFonts w:ascii="Verdana" w:eastAsia="华文细黑" w:hAnsi="Verdana" w:cs="Calibri"/>
          <w:b/>
          <w:sz w:val="40"/>
        </w:rPr>
      </w:pPr>
      <w:r w:rsidRPr="00E264A5">
        <w:rPr>
          <w:rFonts w:ascii="Verdana" w:eastAsia="华文细黑" w:hAnsi="Verdana" w:cs="Calibri" w:hint="eastAsia"/>
          <w:b/>
          <w:sz w:val="40"/>
        </w:rPr>
        <w:t>资金调整</w:t>
      </w:r>
      <w:r w:rsidR="00A936B8">
        <w:rPr>
          <w:rFonts w:ascii="Verdana" w:eastAsia="华文细黑" w:hAnsi="Verdana" w:cs="Calibri" w:hint="eastAsia"/>
          <w:b/>
          <w:sz w:val="40"/>
        </w:rPr>
        <w:t>——</w:t>
      </w:r>
    </w:p>
    <w:p w14:paraId="02E88703" w14:textId="0E069D03" w:rsidR="00A936B8" w:rsidRPr="007072FB" w:rsidRDefault="00A936B8" w:rsidP="00E264A5">
      <w:pPr>
        <w:jc w:val="center"/>
        <w:rPr>
          <w:rFonts w:ascii="Verdana" w:eastAsia="华文细黑" w:hAnsi="Verdana" w:cs="Calibri"/>
          <w:b/>
          <w:sz w:val="40"/>
        </w:rPr>
      </w:pPr>
      <w:r w:rsidRPr="00A936B8">
        <w:rPr>
          <w:rFonts w:ascii="Verdana" w:eastAsia="华文细黑" w:hAnsi="Verdana" w:cs="Calibri" w:hint="eastAsia"/>
          <w:b/>
          <w:sz w:val="40"/>
        </w:rPr>
        <w:t>三亚环通工程管理有限公司专项债券</w:t>
      </w:r>
      <w:bookmarkEnd w:id="0"/>
      <w:r w:rsidR="009231D3">
        <w:rPr>
          <w:rFonts w:ascii="Verdana" w:eastAsia="华文细黑" w:hAnsi="Verdana" w:cs="Calibri" w:hint="eastAsia"/>
          <w:b/>
          <w:sz w:val="40"/>
        </w:rPr>
        <w:t>项目</w:t>
      </w:r>
    </w:p>
    <w:bookmarkEnd w:id="1"/>
    <w:p w14:paraId="48180EAA" w14:textId="594666EF" w:rsidR="000D1B9A" w:rsidRPr="007072FB" w:rsidRDefault="000D1B9A" w:rsidP="007733E3">
      <w:pPr>
        <w:jc w:val="center"/>
        <w:rPr>
          <w:rFonts w:ascii="Verdana" w:eastAsia="华文细黑" w:hAnsi="Verdana" w:cs="Calibri"/>
          <w:b/>
          <w:sz w:val="40"/>
        </w:rPr>
      </w:pPr>
    </w:p>
    <w:bookmarkEnd w:id="2"/>
    <w:p w14:paraId="5DF75D62" w14:textId="77777777" w:rsidR="000D1B9A" w:rsidRPr="007072FB" w:rsidRDefault="000D1B9A">
      <w:pPr>
        <w:jc w:val="center"/>
        <w:rPr>
          <w:rFonts w:ascii="Verdana" w:eastAsia="华文细黑" w:hAnsi="Verdana" w:cs="Calibri"/>
          <w:b/>
          <w:sz w:val="40"/>
        </w:rPr>
      </w:pPr>
    </w:p>
    <w:p w14:paraId="75C65955" w14:textId="77777777" w:rsidR="000D1B9A" w:rsidRPr="007072FB" w:rsidRDefault="000D1B9A">
      <w:pPr>
        <w:jc w:val="center"/>
        <w:rPr>
          <w:rFonts w:ascii="Verdana" w:eastAsia="华文细黑" w:hAnsi="Verdana" w:cs="Calibri"/>
          <w:b/>
          <w:sz w:val="40"/>
        </w:rPr>
      </w:pPr>
    </w:p>
    <w:p w14:paraId="555DFED3" w14:textId="77777777" w:rsidR="000D1B9A" w:rsidRPr="007072FB" w:rsidRDefault="000D1B9A">
      <w:pPr>
        <w:jc w:val="center"/>
        <w:rPr>
          <w:rFonts w:ascii="Verdana" w:eastAsia="华文细黑" w:hAnsi="Verdana" w:cs="Calibri"/>
          <w:b/>
          <w:sz w:val="40"/>
        </w:rPr>
      </w:pPr>
    </w:p>
    <w:p w14:paraId="1205C2B1" w14:textId="77777777" w:rsidR="000D1B9A" w:rsidRPr="007072FB" w:rsidRDefault="000D1B9A">
      <w:pPr>
        <w:jc w:val="center"/>
        <w:rPr>
          <w:rFonts w:ascii="Verdana" w:eastAsia="华文细黑" w:hAnsi="Verdana" w:cs="Calibri"/>
          <w:b/>
          <w:sz w:val="32"/>
        </w:rPr>
      </w:pPr>
    </w:p>
    <w:p w14:paraId="020AB235" w14:textId="77777777" w:rsidR="000D1B9A" w:rsidRPr="007072FB" w:rsidRDefault="000D1B9A">
      <w:pPr>
        <w:jc w:val="center"/>
        <w:rPr>
          <w:rFonts w:ascii="Verdana" w:eastAsia="华文细黑" w:hAnsi="Verdana" w:cs="Calibri"/>
          <w:b/>
          <w:sz w:val="32"/>
        </w:rPr>
      </w:pPr>
    </w:p>
    <w:p w14:paraId="6F634DAE" w14:textId="77777777" w:rsidR="000D1B9A" w:rsidRPr="007072FB" w:rsidRDefault="000D1B9A">
      <w:pPr>
        <w:jc w:val="center"/>
        <w:rPr>
          <w:rFonts w:ascii="Verdana" w:eastAsia="华文细黑" w:hAnsi="Verdana" w:cs="Calibri"/>
          <w:b/>
          <w:sz w:val="32"/>
        </w:rPr>
      </w:pPr>
    </w:p>
    <w:p w14:paraId="4FA7EF6B" w14:textId="77777777" w:rsidR="000D1B9A" w:rsidRPr="007072FB" w:rsidRDefault="000D1B9A">
      <w:pPr>
        <w:jc w:val="center"/>
        <w:rPr>
          <w:rFonts w:ascii="Verdana" w:eastAsia="华文细黑" w:hAnsi="Verdana" w:cs="Calibri"/>
          <w:b/>
          <w:sz w:val="32"/>
        </w:rPr>
      </w:pPr>
    </w:p>
    <w:p w14:paraId="7898B94E" w14:textId="77777777" w:rsidR="000D1B9A" w:rsidRPr="007072FB" w:rsidRDefault="000D1B9A">
      <w:pPr>
        <w:jc w:val="center"/>
        <w:rPr>
          <w:rFonts w:ascii="Verdana" w:eastAsia="华文细黑" w:hAnsi="Verdana" w:cs="Calibri"/>
          <w:b/>
          <w:sz w:val="32"/>
        </w:rPr>
      </w:pPr>
    </w:p>
    <w:p w14:paraId="1609D296" w14:textId="5D47B468" w:rsidR="000D1B9A" w:rsidRPr="007072FB" w:rsidRDefault="00000000">
      <w:pPr>
        <w:jc w:val="center"/>
        <w:rPr>
          <w:rFonts w:ascii="Verdana" w:eastAsia="华文细黑" w:hAnsi="Verdana" w:cs="Calibri"/>
          <w:b/>
          <w:sz w:val="40"/>
          <w:szCs w:val="40"/>
        </w:rPr>
      </w:pPr>
      <w:r w:rsidRPr="007072FB">
        <w:rPr>
          <w:rFonts w:ascii="Verdana" w:eastAsia="华文细黑" w:hAnsi="Verdana" w:cs="Calibri"/>
          <w:b/>
          <w:sz w:val="40"/>
          <w:szCs w:val="40"/>
        </w:rPr>
        <w:t>财务评价报告</w:t>
      </w:r>
    </w:p>
    <w:p w14:paraId="11E071AD" w14:textId="77777777" w:rsidR="000D1B9A" w:rsidRPr="007072FB" w:rsidRDefault="000D1B9A">
      <w:pPr>
        <w:jc w:val="center"/>
        <w:rPr>
          <w:rFonts w:ascii="Verdana" w:eastAsia="华文细黑" w:hAnsi="Verdana" w:cs="Calibri"/>
          <w:sz w:val="36"/>
        </w:rPr>
      </w:pPr>
    </w:p>
    <w:p w14:paraId="79A70269" w14:textId="77777777" w:rsidR="000D1B9A" w:rsidRPr="007072FB" w:rsidRDefault="000D1B9A">
      <w:pPr>
        <w:jc w:val="center"/>
        <w:rPr>
          <w:rFonts w:ascii="Verdana" w:eastAsia="华文细黑" w:hAnsi="Verdana" w:cs="Calibri"/>
          <w:sz w:val="36"/>
        </w:rPr>
      </w:pPr>
    </w:p>
    <w:p w14:paraId="17145D2C" w14:textId="77777777" w:rsidR="000D1B9A" w:rsidRPr="007072FB" w:rsidRDefault="000D1B9A">
      <w:pPr>
        <w:jc w:val="center"/>
        <w:rPr>
          <w:rFonts w:ascii="Verdana" w:eastAsia="华文细黑" w:hAnsi="Verdana" w:cs="Calibri"/>
          <w:sz w:val="36"/>
        </w:rPr>
      </w:pPr>
    </w:p>
    <w:p w14:paraId="03473189" w14:textId="77777777" w:rsidR="000D1B9A" w:rsidRPr="007072FB" w:rsidRDefault="000D1B9A">
      <w:pPr>
        <w:jc w:val="center"/>
        <w:rPr>
          <w:rFonts w:ascii="Verdana" w:eastAsia="华文细黑" w:hAnsi="Verdana" w:cs="Calibri"/>
          <w:sz w:val="36"/>
        </w:rPr>
      </w:pPr>
    </w:p>
    <w:p w14:paraId="5D44125C" w14:textId="77777777" w:rsidR="000D1B9A" w:rsidRPr="007072FB" w:rsidRDefault="000D1B9A">
      <w:pPr>
        <w:rPr>
          <w:rFonts w:ascii="Verdana" w:eastAsia="华文细黑" w:hAnsi="Verdana" w:cs="Calibri"/>
          <w:sz w:val="36"/>
        </w:rPr>
      </w:pPr>
    </w:p>
    <w:p w14:paraId="1781391B" w14:textId="77777777" w:rsidR="000D1B9A" w:rsidRPr="007072FB" w:rsidRDefault="00000000">
      <w:pPr>
        <w:jc w:val="center"/>
        <w:rPr>
          <w:rFonts w:ascii="Verdana" w:eastAsia="华文细黑" w:hAnsi="Verdana" w:cs="Calibri"/>
          <w:b/>
          <w:sz w:val="32"/>
          <w:szCs w:val="28"/>
        </w:rPr>
      </w:pPr>
      <w:r w:rsidRPr="007072FB">
        <w:rPr>
          <w:rFonts w:ascii="Verdana" w:eastAsia="华文细黑" w:hAnsi="Verdana" w:cs="Calibri"/>
          <w:b/>
          <w:sz w:val="32"/>
          <w:szCs w:val="28"/>
        </w:rPr>
        <w:t>德勤咨询（海南）有限公司</w:t>
      </w:r>
    </w:p>
    <w:p w14:paraId="53787795" w14:textId="77777777" w:rsidR="000D1B9A" w:rsidRPr="007072FB" w:rsidRDefault="000D1B9A">
      <w:pPr>
        <w:jc w:val="center"/>
        <w:rPr>
          <w:rFonts w:ascii="Verdana" w:eastAsia="华文细黑" w:hAnsi="Verdana" w:cs="Calibri"/>
          <w:b/>
          <w:sz w:val="32"/>
          <w:szCs w:val="28"/>
        </w:rPr>
      </w:pPr>
    </w:p>
    <w:p w14:paraId="4F906080" w14:textId="243299C7" w:rsidR="000D1B9A" w:rsidRPr="007072FB" w:rsidRDefault="00532163">
      <w:pPr>
        <w:jc w:val="center"/>
        <w:rPr>
          <w:rFonts w:ascii="Verdana" w:eastAsia="华文细黑" w:hAnsi="Verdana" w:cs="Calibri"/>
          <w:b/>
          <w:sz w:val="32"/>
          <w:szCs w:val="28"/>
        </w:rPr>
      </w:pPr>
      <w:r w:rsidRPr="007072FB">
        <w:rPr>
          <w:rFonts w:ascii="Verdana" w:eastAsia="华文细黑" w:hAnsi="Verdana" w:cs="Calibri"/>
          <w:b/>
          <w:sz w:val="32"/>
          <w:szCs w:val="28"/>
        </w:rPr>
        <w:t>2024</w:t>
      </w:r>
      <w:r w:rsidRPr="007072FB">
        <w:rPr>
          <w:rFonts w:ascii="Verdana" w:eastAsia="华文细黑" w:hAnsi="Verdana" w:cs="Calibri"/>
          <w:b/>
          <w:sz w:val="32"/>
          <w:szCs w:val="28"/>
        </w:rPr>
        <w:t>年</w:t>
      </w:r>
      <w:r w:rsidR="00A936B8">
        <w:rPr>
          <w:rFonts w:ascii="Verdana" w:eastAsia="华文细黑" w:hAnsi="Verdana" w:cs="Calibri" w:hint="eastAsia"/>
          <w:b/>
          <w:sz w:val="32"/>
          <w:szCs w:val="28"/>
        </w:rPr>
        <w:t>12</w:t>
      </w:r>
      <w:r w:rsidRPr="007072FB">
        <w:rPr>
          <w:rFonts w:ascii="Verdana" w:eastAsia="华文细黑" w:hAnsi="Verdana" w:cs="Calibri"/>
          <w:b/>
          <w:sz w:val="32"/>
          <w:szCs w:val="28"/>
        </w:rPr>
        <w:t>月</w:t>
      </w:r>
    </w:p>
    <w:p w14:paraId="70D2F260" w14:textId="77777777" w:rsidR="000D1B9A" w:rsidRPr="007072FB" w:rsidRDefault="00000000">
      <w:pPr>
        <w:spacing w:after="160" w:line="259" w:lineRule="auto"/>
        <w:rPr>
          <w:rFonts w:ascii="Verdana" w:eastAsia="华文细黑" w:hAnsi="Verdana" w:cs="Calibri"/>
          <w:b/>
          <w:sz w:val="28"/>
          <w:szCs w:val="28"/>
        </w:rPr>
      </w:pPr>
      <w:r w:rsidRPr="007072FB">
        <w:rPr>
          <w:rFonts w:ascii="Verdana" w:eastAsia="华文细黑" w:hAnsi="Verdana" w:cs="Calibri"/>
          <w:b/>
          <w:sz w:val="28"/>
          <w:szCs w:val="28"/>
        </w:rPr>
        <w:br w:type="page"/>
      </w:r>
    </w:p>
    <w:sdt>
      <w:sdtPr>
        <w:rPr>
          <w:rFonts w:ascii="Verdana" w:eastAsia="华文细黑" w:hAnsi="Verdana" w:cs="Calibri"/>
          <w:lang w:val="en-GB"/>
        </w:rPr>
        <w:id w:val="-1344865810"/>
        <w:docPartObj>
          <w:docPartGallery w:val="Table of Contents"/>
          <w:docPartUnique/>
        </w:docPartObj>
      </w:sdtPr>
      <w:sdtContent>
        <w:p w14:paraId="14AB365B" w14:textId="77777777" w:rsidR="000D1B9A" w:rsidRPr="007072FB" w:rsidRDefault="00000000" w:rsidP="004B465C">
          <w:pPr>
            <w:spacing w:line="360" w:lineRule="auto"/>
            <w:jc w:val="center"/>
            <w:rPr>
              <w:rFonts w:ascii="Verdana" w:eastAsia="华文细黑" w:hAnsi="Verdana" w:cs="Calibri"/>
            </w:rPr>
          </w:pPr>
          <w:r w:rsidRPr="007072FB">
            <w:rPr>
              <w:rFonts w:ascii="Verdana" w:eastAsia="华文细黑" w:hAnsi="Verdana" w:cs="Calibri"/>
              <w:b/>
            </w:rPr>
            <w:t>目录</w:t>
          </w:r>
        </w:p>
        <w:p w14:paraId="07510878" w14:textId="41722BDD" w:rsidR="000D1B9A" w:rsidRPr="007072FB" w:rsidRDefault="00000000">
          <w:pPr>
            <w:pStyle w:val="TOC1"/>
            <w:spacing w:line="360" w:lineRule="auto"/>
            <w:rPr>
              <w:rFonts w:ascii="Verdana" w:hAnsi="Verdana" w:cstheme="minorBidi"/>
              <w:noProof/>
              <w:kern w:val="2"/>
            </w:rPr>
          </w:pPr>
          <w:r w:rsidRPr="007072FB">
            <w:rPr>
              <w:rFonts w:ascii="Verdana" w:hAnsi="Verdana" w:cs="Calibri"/>
              <w:szCs w:val="20"/>
            </w:rPr>
            <w:fldChar w:fldCharType="begin"/>
          </w:r>
          <w:r w:rsidRPr="007072FB">
            <w:rPr>
              <w:rFonts w:ascii="Verdana" w:hAnsi="Verdana" w:cs="Calibri"/>
              <w:szCs w:val="20"/>
            </w:rPr>
            <w:instrText xml:space="preserve"> TOC \o "1-3" \h \z \u </w:instrText>
          </w:r>
          <w:r w:rsidRPr="007072FB">
            <w:rPr>
              <w:rFonts w:ascii="Verdana" w:hAnsi="Verdana" w:cs="Calibri"/>
              <w:szCs w:val="20"/>
            </w:rPr>
            <w:fldChar w:fldCharType="separate"/>
          </w:r>
          <w:hyperlink w:anchor="_Toc135044137" w:history="1">
            <w:r w:rsidRPr="007072FB">
              <w:rPr>
                <w:rStyle w:val="afc"/>
                <w:rFonts w:ascii="Verdana" w:hAnsi="Verdana" w:cs="Calibri"/>
                <w:noProof/>
              </w:rPr>
              <w:t>一、地区经济情况</w:t>
            </w:r>
            <w:r w:rsidRPr="007072FB">
              <w:rPr>
                <w:rFonts w:ascii="Verdana" w:hAnsi="Verdana"/>
                <w:noProof/>
              </w:rPr>
              <w:tab/>
            </w:r>
            <w:r w:rsidRPr="007072FB">
              <w:rPr>
                <w:rFonts w:ascii="Verdana" w:hAnsi="Verdana"/>
                <w:noProof/>
              </w:rPr>
              <w:fldChar w:fldCharType="begin"/>
            </w:r>
            <w:r w:rsidRPr="007072FB">
              <w:rPr>
                <w:rFonts w:ascii="Verdana" w:hAnsi="Verdana"/>
                <w:noProof/>
              </w:rPr>
              <w:instrText xml:space="preserve"> PAGEREF _Toc135044137 \h </w:instrText>
            </w:r>
            <w:r w:rsidRPr="007072FB">
              <w:rPr>
                <w:rFonts w:ascii="Verdana" w:hAnsi="Verdana"/>
                <w:noProof/>
              </w:rPr>
            </w:r>
            <w:r w:rsidRPr="007072FB">
              <w:rPr>
                <w:rFonts w:ascii="Verdana" w:hAnsi="Verdana"/>
                <w:noProof/>
              </w:rPr>
              <w:fldChar w:fldCharType="separate"/>
            </w:r>
            <w:r w:rsidR="00935712">
              <w:rPr>
                <w:rFonts w:ascii="Verdana" w:hAnsi="Verdana"/>
                <w:noProof/>
              </w:rPr>
              <w:t>1</w:t>
            </w:r>
            <w:r w:rsidRPr="007072FB">
              <w:rPr>
                <w:rFonts w:ascii="Verdana" w:hAnsi="Verdana"/>
                <w:noProof/>
              </w:rPr>
              <w:fldChar w:fldCharType="end"/>
            </w:r>
          </w:hyperlink>
        </w:p>
        <w:p w14:paraId="4ABE9B0A" w14:textId="1E6F6167" w:rsidR="000D1B9A" w:rsidRPr="007072FB" w:rsidRDefault="00000000">
          <w:pPr>
            <w:pStyle w:val="TOC2"/>
            <w:rPr>
              <w:rFonts w:ascii="Verdana" w:eastAsia="华文细黑" w:hAnsi="Verdana" w:cstheme="minorBidi"/>
              <w:b/>
              <w:noProof/>
              <w:kern w:val="2"/>
            </w:rPr>
          </w:pPr>
          <w:hyperlink w:anchor="_Toc135044138" w:history="1">
            <w:r w:rsidRPr="007072FB">
              <w:rPr>
                <w:rStyle w:val="afc"/>
                <w:rFonts w:ascii="Verdana" w:eastAsia="华文细黑" w:hAnsi="Verdana" w:cs="Calibri"/>
                <w:b/>
                <w:noProof/>
              </w:rPr>
              <w:t>1</w:t>
            </w:r>
            <w:r w:rsidRPr="007072FB">
              <w:rPr>
                <w:rStyle w:val="afc"/>
                <w:rFonts w:ascii="Verdana" w:eastAsia="华文细黑" w:hAnsi="Verdana" w:cs="Calibri"/>
                <w:b/>
                <w:noProof/>
              </w:rPr>
              <w:t>．地区生产总值</w:t>
            </w:r>
            <w:r w:rsidRPr="007072FB">
              <w:rPr>
                <w:rFonts w:ascii="Verdana" w:eastAsia="华文细黑" w:hAnsi="Verdana"/>
                <w:b/>
                <w:noProof/>
              </w:rPr>
              <w:tab/>
            </w:r>
            <w:r w:rsidRPr="007072FB">
              <w:rPr>
                <w:rFonts w:ascii="Verdana" w:eastAsia="华文细黑" w:hAnsi="Verdana"/>
                <w:b/>
                <w:noProof/>
              </w:rPr>
              <w:fldChar w:fldCharType="begin"/>
            </w:r>
            <w:r w:rsidRPr="007072FB">
              <w:rPr>
                <w:rFonts w:ascii="Verdana" w:eastAsia="华文细黑" w:hAnsi="Verdana"/>
                <w:b/>
                <w:noProof/>
              </w:rPr>
              <w:instrText xml:space="preserve"> PAGEREF _Toc135044138 \h </w:instrText>
            </w:r>
            <w:r w:rsidRPr="007072FB">
              <w:rPr>
                <w:rFonts w:ascii="Verdana" w:eastAsia="华文细黑" w:hAnsi="Verdana"/>
                <w:b/>
                <w:noProof/>
              </w:rPr>
            </w:r>
            <w:r w:rsidRPr="007072FB">
              <w:rPr>
                <w:rFonts w:ascii="Verdana" w:eastAsia="华文细黑" w:hAnsi="Verdana"/>
                <w:b/>
                <w:noProof/>
              </w:rPr>
              <w:fldChar w:fldCharType="separate"/>
            </w:r>
            <w:r w:rsidR="00935712">
              <w:rPr>
                <w:rFonts w:ascii="Verdana" w:eastAsia="华文细黑" w:hAnsi="Verdana"/>
                <w:b/>
                <w:noProof/>
              </w:rPr>
              <w:t>1</w:t>
            </w:r>
            <w:r w:rsidRPr="007072FB">
              <w:rPr>
                <w:rFonts w:ascii="Verdana" w:eastAsia="华文细黑" w:hAnsi="Verdana"/>
                <w:b/>
                <w:noProof/>
              </w:rPr>
              <w:fldChar w:fldCharType="end"/>
            </w:r>
          </w:hyperlink>
        </w:p>
        <w:p w14:paraId="0D4EB85C" w14:textId="271E6AD1" w:rsidR="000D1B9A" w:rsidRPr="007072FB" w:rsidRDefault="00000000">
          <w:pPr>
            <w:pStyle w:val="TOC2"/>
            <w:rPr>
              <w:rFonts w:ascii="Verdana" w:eastAsia="华文细黑" w:hAnsi="Verdana" w:cstheme="minorBidi"/>
              <w:b/>
              <w:noProof/>
              <w:kern w:val="2"/>
            </w:rPr>
          </w:pPr>
          <w:hyperlink w:anchor="_Toc135044139" w:history="1">
            <w:r w:rsidRPr="007072FB">
              <w:rPr>
                <w:rStyle w:val="afc"/>
                <w:rFonts w:ascii="Verdana" w:eastAsia="华文细黑" w:hAnsi="Verdana" w:cs="Calibri"/>
                <w:b/>
                <w:noProof/>
              </w:rPr>
              <w:t>2</w:t>
            </w:r>
            <w:r w:rsidRPr="007072FB">
              <w:rPr>
                <w:rStyle w:val="afc"/>
                <w:rFonts w:ascii="Verdana" w:eastAsia="华文细黑" w:hAnsi="Verdana" w:cs="Calibri"/>
                <w:b/>
                <w:noProof/>
              </w:rPr>
              <w:t>．地区人均年收入</w:t>
            </w:r>
            <w:r w:rsidRPr="007072FB">
              <w:rPr>
                <w:rFonts w:ascii="Verdana" w:eastAsia="华文细黑" w:hAnsi="Verdana"/>
                <w:b/>
                <w:noProof/>
              </w:rPr>
              <w:tab/>
            </w:r>
            <w:r w:rsidRPr="007072FB">
              <w:rPr>
                <w:rFonts w:ascii="Verdana" w:eastAsia="华文细黑" w:hAnsi="Verdana"/>
                <w:b/>
                <w:noProof/>
              </w:rPr>
              <w:fldChar w:fldCharType="begin"/>
            </w:r>
            <w:r w:rsidRPr="007072FB">
              <w:rPr>
                <w:rFonts w:ascii="Verdana" w:eastAsia="华文细黑" w:hAnsi="Verdana"/>
                <w:b/>
                <w:noProof/>
              </w:rPr>
              <w:instrText xml:space="preserve"> PAGEREF _Toc135044139 \h </w:instrText>
            </w:r>
            <w:r w:rsidRPr="007072FB">
              <w:rPr>
                <w:rFonts w:ascii="Verdana" w:eastAsia="华文细黑" w:hAnsi="Verdana"/>
                <w:b/>
                <w:noProof/>
              </w:rPr>
            </w:r>
            <w:r w:rsidRPr="007072FB">
              <w:rPr>
                <w:rFonts w:ascii="Verdana" w:eastAsia="华文细黑" w:hAnsi="Verdana"/>
                <w:b/>
                <w:noProof/>
              </w:rPr>
              <w:fldChar w:fldCharType="separate"/>
            </w:r>
            <w:r w:rsidR="00935712">
              <w:rPr>
                <w:rFonts w:ascii="Verdana" w:eastAsia="华文细黑" w:hAnsi="Verdana"/>
                <w:b/>
                <w:noProof/>
              </w:rPr>
              <w:t>2</w:t>
            </w:r>
            <w:r w:rsidRPr="007072FB">
              <w:rPr>
                <w:rFonts w:ascii="Verdana" w:eastAsia="华文细黑" w:hAnsi="Verdana"/>
                <w:b/>
                <w:noProof/>
              </w:rPr>
              <w:fldChar w:fldCharType="end"/>
            </w:r>
          </w:hyperlink>
        </w:p>
        <w:p w14:paraId="20036037" w14:textId="30681B1F" w:rsidR="000D1B9A" w:rsidRPr="007072FB" w:rsidRDefault="00000000">
          <w:pPr>
            <w:pStyle w:val="TOC2"/>
            <w:rPr>
              <w:rFonts w:ascii="Verdana" w:eastAsia="华文细黑" w:hAnsi="Verdana" w:cstheme="minorBidi"/>
              <w:b/>
              <w:noProof/>
              <w:kern w:val="2"/>
            </w:rPr>
          </w:pPr>
          <w:hyperlink w:anchor="_Toc135044140" w:history="1">
            <w:r w:rsidRPr="007072FB">
              <w:rPr>
                <w:rStyle w:val="afc"/>
                <w:rFonts w:ascii="Verdana" w:eastAsia="华文细黑" w:hAnsi="Verdana" w:cs="Calibri"/>
                <w:b/>
                <w:noProof/>
              </w:rPr>
              <w:t>3</w:t>
            </w:r>
            <w:r w:rsidRPr="007072FB">
              <w:rPr>
                <w:rStyle w:val="afc"/>
                <w:rFonts w:ascii="Verdana" w:eastAsia="华文细黑" w:hAnsi="Verdana" w:cs="Calibri"/>
                <w:b/>
                <w:noProof/>
              </w:rPr>
              <w:t>．一般公共预算收支</w:t>
            </w:r>
            <w:r w:rsidRPr="007072FB">
              <w:rPr>
                <w:rFonts w:ascii="Verdana" w:eastAsia="华文细黑" w:hAnsi="Verdana"/>
                <w:b/>
                <w:noProof/>
              </w:rPr>
              <w:tab/>
            </w:r>
            <w:r w:rsidRPr="007072FB">
              <w:rPr>
                <w:rFonts w:ascii="Verdana" w:eastAsia="华文细黑" w:hAnsi="Verdana"/>
                <w:b/>
                <w:noProof/>
              </w:rPr>
              <w:fldChar w:fldCharType="begin"/>
            </w:r>
            <w:r w:rsidRPr="007072FB">
              <w:rPr>
                <w:rFonts w:ascii="Verdana" w:eastAsia="华文细黑" w:hAnsi="Verdana"/>
                <w:b/>
                <w:noProof/>
              </w:rPr>
              <w:instrText xml:space="preserve"> PAGEREF _Toc135044140 \h </w:instrText>
            </w:r>
            <w:r w:rsidRPr="007072FB">
              <w:rPr>
                <w:rFonts w:ascii="Verdana" w:eastAsia="华文细黑" w:hAnsi="Verdana"/>
                <w:b/>
                <w:noProof/>
              </w:rPr>
            </w:r>
            <w:r w:rsidRPr="007072FB">
              <w:rPr>
                <w:rFonts w:ascii="Verdana" w:eastAsia="华文细黑" w:hAnsi="Verdana"/>
                <w:b/>
                <w:noProof/>
              </w:rPr>
              <w:fldChar w:fldCharType="separate"/>
            </w:r>
            <w:r w:rsidR="00935712">
              <w:rPr>
                <w:rFonts w:ascii="Verdana" w:eastAsia="华文细黑" w:hAnsi="Verdana"/>
                <w:b/>
                <w:noProof/>
              </w:rPr>
              <w:t>2</w:t>
            </w:r>
            <w:r w:rsidRPr="007072FB">
              <w:rPr>
                <w:rFonts w:ascii="Verdana" w:eastAsia="华文细黑" w:hAnsi="Verdana"/>
                <w:b/>
                <w:noProof/>
              </w:rPr>
              <w:fldChar w:fldCharType="end"/>
            </w:r>
          </w:hyperlink>
        </w:p>
        <w:p w14:paraId="3C8ED9B3" w14:textId="265DA0A3" w:rsidR="000D1B9A" w:rsidRPr="007072FB" w:rsidRDefault="00000000">
          <w:pPr>
            <w:pStyle w:val="TOC2"/>
            <w:rPr>
              <w:rFonts w:ascii="Verdana" w:eastAsia="华文细黑" w:hAnsi="Verdana" w:cstheme="minorBidi"/>
              <w:b/>
              <w:noProof/>
              <w:kern w:val="2"/>
            </w:rPr>
          </w:pPr>
          <w:hyperlink w:anchor="_Toc135044141" w:history="1">
            <w:r w:rsidRPr="007072FB">
              <w:rPr>
                <w:rStyle w:val="afc"/>
                <w:rFonts w:ascii="Verdana" w:eastAsia="华文细黑" w:hAnsi="Verdana" w:cs="Calibri"/>
                <w:b/>
                <w:noProof/>
              </w:rPr>
              <w:t>4</w:t>
            </w:r>
            <w:r w:rsidRPr="007072FB">
              <w:rPr>
                <w:rStyle w:val="afc"/>
                <w:rFonts w:ascii="Verdana" w:eastAsia="华文细黑" w:hAnsi="Verdana" w:cs="Calibri"/>
                <w:b/>
                <w:noProof/>
              </w:rPr>
              <w:t>．政府性基金预算收支</w:t>
            </w:r>
            <w:r w:rsidRPr="007072FB">
              <w:rPr>
                <w:rFonts w:ascii="Verdana" w:eastAsia="华文细黑" w:hAnsi="Verdana"/>
                <w:b/>
                <w:noProof/>
              </w:rPr>
              <w:tab/>
            </w:r>
            <w:r w:rsidRPr="007072FB">
              <w:rPr>
                <w:rFonts w:ascii="Verdana" w:eastAsia="华文细黑" w:hAnsi="Verdana"/>
                <w:b/>
                <w:noProof/>
              </w:rPr>
              <w:fldChar w:fldCharType="begin"/>
            </w:r>
            <w:r w:rsidRPr="007072FB">
              <w:rPr>
                <w:rFonts w:ascii="Verdana" w:eastAsia="华文细黑" w:hAnsi="Verdana"/>
                <w:b/>
                <w:noProof/>
              </w:rPr>
              <w:instrText xml:space="preserve"> PAGEREF _Toc135044141 \h </w:instrText>
            </w:r>
            <w:r w:rsidRPr="007072FB">
              <w:rPr>
                <w:rFonts w:ascii="Verdana" w:eastAsia="华文细黑" w:hAnsi="Verdana"/>
                <w:b/>
                <w:noProof/>
              </w:rPr>
            </w:r>
            <w:r w:rsidRPr="007072FB">
              <w:rPr>
                <w:rFonts w:ascii="Verdana" w:eastAsia="华文细黑" w:hAnsi="Verdana"/>
                <w:b/>
                <w:noProof/>
              </w:rPr>
              <w:fldChar w:fldCharType="separate"/>
            </w:r>
            <w:r w:rsidR="00935712">
              <w:rPr>
                <w:rFonts w:ascii="Verdana" w:eastAsia="华文细黑" w:hAnsi="Verdana"/>
                <w:b/>
                <w:noProof/>
              </w:rPr>
              <w:t>4</w:t>
            </w:r>
            <w:r w:rsidRPr="007072FB">
              <w:rPr>
                <w:rFonts w:ascii="Verdana" w:eastAsia="华文细黑" w:hAnsi="Verdana"/>
                <w:b/>
                <w:noProof/>
              </w:rPr>
              <w:fldChar w:fldCharType="end"/>
            </w:r>
          </w:hyperlink>
        </w:p>
        <w:p w14:paraId="4F4278F3" w14:textId="4FEE8A0B" w:rsidR="000D1B9A" w:rsidRPr="007072FB" w:rsidRDefault="00000000">
          <w:pPr>
            <w:pStyle w:val="TOC2"/>
            <w:rPr>
              <w:rFonts w:ascii="Verdana" w:eastAsia="华文细黑" w:hAnsi="Verdana" w:cstheme="minorBidi"/>
              <w:b/>
              <w:noProof/>
              <w:kern w:val="2"/>
            </w:rPr>
          </w:pPr>
          <w:hyperlink w:anchor="_Toc135044142" w:history="1">
            <w:r w:rsidRPr="007072FB">
              <w:rPr>
                <w:rStyle w:val="afc"/>
                <w:rFonts w:ascii="Verdana" w:eastAsia="华文细黑" w:hAnsi="Verdana" w:cs="Calibri"/>
                <w:b/>
                <w:noProof/>
              </w:rPr>
              <w:t>5</w:t>
            </w:r>
            <w:r w:rsidRPr="007072FB">
              <w:rPr>
                <w:rStyle w:val="afc"/>
                <w:rFonts w:ascii="Verdana" w:eastAsia="华文细黑" w:hAnsi="Verdana" w:cs="Calibri"/>
                <w:b/>
                <w:noProof/>
              </w:rPr>
              <w:t>．地方政府债务情况</w:t>
            </w:r>
            <w:r w:rsidRPr="007072FB">
              <w:rPr>
                <w:rFonts w:ascii="Verdana" w:eastAsia="华文细黑" w:hAnsi="Verdana"/>
                <w:b/>
                <w:noProof/>
              </w:rPr>
              <w:tab/>
            </w:r>
            <w:r w:rsidRPr="007072FB">
              <w:rPr>
                <w:rFonts w:ascii="Verdana" w:eastAsia="华文细黑" w:hAnsi="Verdana"/>
                <w:b/>
                <w:noProof/>
              </w:rPr>
              <w:fldChar w:fldCharType="begin"/>
            </w:r>
            <w:r w:rsidRPr="007072FB">
              <w:rPr>
                <w:rFonts w:ascii="Verdana" w:eastAsia="华文细黑" w:hAnsi="Verdana"/>
                <w:b/>
                <w:noProof/>
              </w:rPr>
              <w:instrText xml:space="preserve"> PAGEREF _Toc135044142 \h </w:instrText>
            </w:r>
            <w:r w:rsidRPr="007072FB">
              <w:rPr>
                <w:rFonts w:ascii="Verdana" w:eastAsia="华文细黑" w:hAnsi="Verdana"/>
                <w:b/>
                <w:noProof/>
              </w:rPr>
            </w:r>
            <w:r w:rsidRPr="007072FB">
              <w:rPr>
                <w:rFonts w:ascii="Verdana" w:eastAsia="华文细黑" w:hAnsi="Verdana"/>
                <w:b/>
                <w:noProof/>
              </w:rPr>
              <w:fldChar w:fldCharType="separate"/>
            </w:r>
            <w:r w:rsidR="00935712">
              <w:rPr>
                <w:rFonts w:ascii="Verdana" w:eastAsia="华文细黑" w:hAnsi="Verdana"/>
                <w:b/>
                <w:noProof/>
              </w:rPr>
              <w:t>5</w:t>
            </w:r>
            <w:r w:rsidRPr="007072FB">
              <w:rPr>
                <w:rFonts w:ascii="Verdana" w:eastAsia="华文细黑" w:hAnsi="Verdana"/>
                <w:b/>
                <w:noProof/>
              </w:rPr>
              <w:fldChar w:fldCharType="end"/>
            </w:r>
          </w:hyperlink>
        </w:p>
        <w:p w14:paraId="4426E2B6" w14:textId="3C3B6F82" w:rsidR="000D1B9A" w:rsidRPr="007072FB" w:rsidRDefault="00000000">
          <w:pPr>
            <w:pStyle w:val="TOC1"/>
            <w:spacing w:line="360" w:lineRule="auto"/>
            <w:rPr>
              <w:rFonts w:ascii="Verdana" w:hAnsi="Verdana" w:cstheme="minorBidi"/>
              <w:noProof/>
              <w:kern w:val="2"/>
            </w:rPr>
          </w:pPr>
          <w:hyperlink w:anchor="_Toc135044143" w:history="1">
            <w:r w:rsidRPr="007072FB">
              <w:rPr>
                <w:rStyle w:val="afc"/>
                <w:rFonts w:ascii="Verdana" w:hAnsi="Verdana" w:cs="Calibri"/>
                <w:noProof/>
              </w:rPr>
              <w:t>二、项目概述</w:t>
            </w:r>
            <w:r w:rsidRPr="007072FB">
              <w:rPr>
                <w:rFonts w:ascii="Verdana" w:hAnsi="Verdana"/>
                <w:noProof/>
              </w:rPr>
              <w:tab/>
            </w:r>
            <w:r w:rsidRPr="007072FB">
              <w:rPr>
                <w:rFonts w:ascii="Verdana" w:hAnsi="Verdana"/>
                <w:noProof/>
              </w:rPr>
              <w:fldChar w:fldCharType="begin"/>
            </w:r>
            <w:r w:rsidRPr="007072FB">
              <w:rPr>
                <w:rFonts w:ascii="Verdana" w:hAnsi="Verdana"/>
                <w:noProof/>
              </w:rPr>
              <w:instrText xml:space="preserve"> PAGEREF _Toc135044143 \h </w:instrText>
            </w:r>
            <w:r w:rsidRPr="007072FB">
              <w:rPr>
                <w:rFonts w:ascii="Verdana" w:hAnsi="Verdana"/>
                <w:noProof/>
              </w:rPr>
            </w:r>
            <w:r w:rsidRPr="007072FB">
              <w:rPr>
                <w:rFonts w:ascii="Verdana" w:hAnsi="Verdana"/>
                <w:noProof/>
              </w:rPr>
              <w:fldChar w:fldCharType="separate"/>
            </w:r>
            <w:r w:rsidR="00935712">
              <w:rPr>
                <w:rFonts w:ascii="Verdana" w:hAnsi="Verdana"/>
                <w:noProof/>
              </w:rPr>
              <w:t>5</w:t>
            </w:r>
            <w:r w:rsidRPr="007072FB">
              <w:rPr>
                <w:rFonts w:ascii="Verdana" w:hAnsi="Verdana"/>
                <w:noProof/>
              </w:rPr>
              <w:fldChar w:fldCharType="end"/>
            </w:r>
          </w:hyperlink>
        </w:p>
        <w:p w14:paraId="22D43131" w14:textId="2070EDF6" w:rsidR="000D1B9A" w:rsidRPr="007072FB" w:rsidRDefault="00000000">
          <w:pPr>
            <w:pStyle w:val="TOC1"/>
            <w:spacing w:line="360" w:lineRule="auto"/>
            <w:rPr>
              <w:rFonts w:ascii="Verdana" w:hAnsi="Verdana" w:cstheme="minorBidi"/>
              <w:noProof/>
              <w:kern w:val="2"/>
            </w:rPr>
          </w:pPr>
          <w:hyperlink w:anchor="_Toc135044144" w:history="1">
            <w:r w:rsidRPr="007072FB">
              <w:rPr>
                <w:rStyle w:val="afc"/>
                <w:rFonts w:ascii="Verdana" w:hAnsi="Verdana" w:cs="Calibri"/>
                <w:noProof/>
              </w:rPr>
              <w:t>三、评</w:t>
            </w:r>
            <w:r w:rsidR="00F60D1E">
              <w:rPr>
                <w:rStyle w:val="afc"/>
                <w:rFonts w:ascii="Verdana" w:hAnsi="Verdana" w:cs="Calibri" w:hint="eastAsia"/>
                <w:noProof/>
              </w:rPr>
              <w:t>价</w:t>
            </w:r>
            <w:r w:rsidRPr="007072FB">
              <w:rPr>
                <w:rStyle w:val="afc"/>
                <w:rFonts w:ascii="Verdana" w:hAnsi="Verdana" w:cs="Calibri"/>
                <w:noProof/>
              </w:rPr>
              <w:t>要素</w:t>
            </w:r>
            <w:r w:rsidRPr="007072FB">
              <w:rPr>
                <w:rFonts w:ascii="Verdana" w:hAnsi="Verdana"/>
                <w:noProof/>
              </w:rPr>
              <w:tab/>
            </w:r>
            <w:r w:rsidRPr="007072FB">
              <w:rPr>
                <w:rFonts w:ascii="Verdana" w:hAnsi="Verdana"/>
                <w:noProof/>
              </w:rPr>
              <w:fldChar w:fldCharType="begin"/>
            </w:r>
            <w:r w:rsidRPr="007072FB">
              <w:rPr>
                <w:rFonts w:ascii="Verdana" w:hAnsi="Verdana"/>
                <w:noProof/>
              </w:rPr>
              <w:instrText xml:space="preserve"> PAGEREF _Toc135044144 \h </w:instrText>
            </w:r>
            <w:r w:rsidRPr="007072FB">
              <w:rPr>
                <w:rFonts w:ascii="Verdana" w:hAnsi="Verdana"/>
                <w:noProof/>
              </w:rPr>
            </w:r>
            <w:r w:rsidRPr="007072FB">
              <w:rPr>
                <w:rFonts w:ascii="Verdana" w:hAnsi="Verdana"/>
                <w:noProof/>
              </w:rPr>
              <w:fldChar w:fldCharType="separate"/>
            </w:r>
            <w:r w:rsidR="00935712">
              <w:rPr>
                <w:rFonts w:ascii="Verdana" w:hAnsi="Verdana"/>
                <w:noProof/>
              </w:rPr>
              <w:t>11</w:t>
            </w:r>
            <w:r w:rsidRPr="007072FB">
              <w:rPr>
                <w:rFonts w:ascii="Verdana" w:hAnsi="Verdana"/>
                <w:noProof/>
              </w:rPr>
              <w:fldChar w:fldCharType="end"/>
            </w:r>
          </w:hyperlink>
        </w:p>
        <w:p w14:paraId="416FECCF" w14:textId="5BFCF708" w:rsidR="000D1B9A" w:rsidRPr="007072FB" w:rsidRDefault="00000000">
          <w:pPr>
            <w:pStyle w:val="TOC1"/>
            <w:spacing w:line="360" w:lineRule="auto"/>
            <w:rPr>
              <w:rFonts w:ascii="Verdana" w:hAnsi="Verdana" w:cstheme="minorBidi"/>
              <w:noProof/>
              <w:kern w:val="2"/>
            </w:rPr>
          </w:pPr>
          <w:hyperlink w:anchor="_Toc135044145" w:history="1">
            <w:r w:rsidRPr="007072FB">
              <w:rPr>
                <w:rStyle w:val="afc"/>
                <w:rFonts w:ascii="Verdana" w:hAnsi="Verdana" w:cs="Calibri"/>
                <w:noProof/>
              </w:rPr>
              <w:t>1</w:t>
            </w:r>
            <w:r w:rsidRPr="007072FB">
              <w:rPr>
                <w:rStyle w:val="afc"/>
                <w:rFonts w:ascii="Verdana" w:hAnsi="Verdana" w:cs="Calibri"/>
                <w:noProof/>
              </w:rPr>
              <w:t>．资金充足性</w:t>
            </w:r>
            <w:r w:rsidRPr="007072FB">
              <w:rPr>
                <w:rFonts w:ascii="Verdana" w:hAnsi="Verdana"/>
                <w:noProof/>
              </w:rPr>
              <w:tab/>
            </w:r>
            <w:r w:rsidRPr="007072FB">
              <w:rPr>
                <w:rFonts w:ascii="Verdana" w:hAnsi="Verdana"/>
                <w:noProof/>
              </w:rPr>
              <w:fldChar w:fldCharType="begin"/>
            </w:r>
            <w:r w:rsidRPr="007072FB">
              <w:rPr>
                <w:rFonts w:ascii="Verdana" w:hAnsi="Verdana"/>
                <w:noProof/>
              </w:rPr>
              <w:instrText xml:space="preserve"> PAGEREF _Toc135044145 \h </w:instrText>
            </w:r>
            <w:r w:rsidRPr="007072FB">
              <w:rPr>
                <w:rFonts w:ascii="Verdana" w:hAnsi="Verdana"/>
                <w:noProof/>
              </w:rPr>
            </w:r>
            <w:r w:rsidRPr="007072FB">
              <w:rPr>
                <w:rFonts w:ascii="Verdana" w:hAnsi="Verdana"/>
                <w:noProof/>
              </w:rPr>
              <w:fldChar w:fldCharType="separate"/>
            </w:r>
            <w:r w:rsidR="00935712">
              <w:rPr>
                <w:rFonts w:ascii="Verdana" w:hAnsi="Verdana"/>
                <w:noProof/>
              </w:rPr>
              <w:t>12</w:t>
            </w:r>
            <w:r w:rsidRPr="007072FB">
              <w:rPr>
                <w:rFonts w:ascii="Verdana" w:hAnsi="Verdana"/>
                <w:noProof/>
              </w:rPr>
              <w:fldChar w:fldCharType="end"/>
            </w:r>
          </w:hyperlink>
        </w:p>
        <w:p w14:paraId="7DDC8A07" w14:textId="4FB29E63" w:rsidR="000D1B9A" w:rsidRPr="007072FB" w:rsidRDefault="00000000">
          <w:pPr>
            <w:pStyle w:val="TOC3"/>
            <w:tabs>
              <w:tab w:val="right" w:leader="dot" w:pos="8630"/>
            </w:tabs>
            <w:spacing w:line="360" w:lineRule="auto"/>
            <w:rPr>
              <w:rFonts w:ascii="Verdana" w:eastAsia="华文细黑" w:hAnsi="Verdana" w:cstheme="minorBidi"/>
              <w:b/>
              <w:noProof/>
              <w:kern w:val="2"/>
            </w:rPr>
          </w:pPr>
          <w:hyperlink w:anchor="_Toc135044146" w:history="1">
            <w:r w:rsidRPr="007072FB">
              <w:rPr>
                <w:rStyle w:val="afc"/>
                <w:rFonts w:ascii="Verdana" w:eastAsia="华文细黑" w:hAnsi="Verdana" w:cs="Calibri"/>
                <w:b/>
                <w:noProof/>
              </w:rPr>
              <w:t>1.1</w:t>
            </w:r>
            <w:r w:rsidRPr="007072FB">
              <w:rPr>
                <w:rStyle w:val="afc"/>
                <w:rFonts w:ascii="Verdana" w:eastAsia="华文细黑" w:hAnsi="Verdana" w:cs="Calibri"/>
                <w:b/>
                <w:noProof/>
              </w:rPr>
              <w:t>投资估算</w:t>
            </w:r>
            <w:r w:rsidRPr="007072FB">
              <w:rPr>
                <w:rFonts w:ascii="Verdana" w:eastAsia="华文细黑" w:hAnsi="Verdana"/>
                <w:b/>
                <w:noProof/>
              </w:rPr>
              <w:tab/>
            </w:r>
            <w:r w:rsidRPr="007072FB">
              <w:rPr>
                <w:rFonts w:ascii="Verdana" w:eastAsia="华文细黑" w:hAnsi="Verdana"/>
                <w:b/>
                <w:noProof/>
              </w:rPr>
              <w:fldChar w:fldCharType="begin"/>
            </w:r>
            <w:r w:rsidRPr="007072FB">
              <w:rPr>
                <w:rFonts w:ascii="Verdana" w:eastAsia="华文细黑" w:hAnsi="Verdana"/>
                <w:b/>
                <w:noProof/>
              </w:rPr>
              <w:instrText xml:space="preserve"> PAGEREF _Toc135044146 \h </w:instrText>
            </w:r>
            <w:r w:rsidRPr="007072FB">
              <w:rPr>
                <w:rFonts w:ascii="Verdana" w:eastAsia="华文细黑" w:hAnsi="Verdana"/>
                <w:b/>
                <w:noProof/>
              </w:rPr>
            </w:r>
            <w:r w:rsidRPr="007072FB">
              <w:rPr>
                <w:rFonts w:ascii="Verdana" w:eastAsia="华文细黑" w:hAnsi="Verdana"/>
                <w:b/>
                <w:noProof/>
              </w:rPr>
              <w:fldChar w:fldCharType="separate"/>
            </w:r>
            <w:r w:rsidR="00935712">
              <w:rPr>
                <w:rFonts w:ascii="Verdana" w:eastAsia="华文细黑" w:hAnsi="Verdana"/>
                <w:b/>
                <w:noProof/>
              </w:rPr>
              <w:t>13</w:t>
            </w:r>
            <w:r w:rsidRPr="007072FB">
              <w:rPr>
                <w:rFonts w:ascii="Verdana" w:eastAsia="华文细黑" w:hAnsi="Verdana"/>
                <w:b/>
                <w:noProof/>
              </w:rPr>
              <w:fldChar w:fldCharType="end"/>
            </w:r>
          </w:hyperlink>
        </w:p>
        <w:p w14:paraId="10A81DAA" w14:textId="653F0389" w:rsidR="000D1B9A" w:rsidRPr="007072FB" w:rsidRDefault="00000000">
          <w:pPr>
            <w:pStyle w:val="TOC3"/>
            <w:tabs>
              <w:tab w:val="right" w:leader="dot" w:pos="8630"/>
            </w:tabs>
            <w:spacing w:line="360" w:lineRule="auto"/>
            <w:rPr>
              <w:rFonts w:ascii="Verdana" w:eastAsia="华文细黑" w:hAnsi="Verdana" w:cstheme="minorBidi"/>
              <w:b/>
              <w:noProof/>
              <w:kern w:val="2"/>
            </w:rPr>
          </w:pPr>
          <w:hyperlink w:anchor="_Toc135044147" w:history="1">
            <w:r w:rsidRPr="007072FB">
              <w:rPr>
                <w:rStyle w:val="afc"/>
                <w:rFonts w:ascii="Verdana" w:eastAsia="华文细黑" w:hAnsi="Verdana" w:cs="Calibri"/>
                <w:b/>
                <w:noProof/>
              </w:rPr>
              <w:t>1.2</w:t>
            </w:r>
            <w:r w:rsidRPr="007072FB">
              <w:rPr>
                <w:rStyle w:val="afc"/>
                <w:rFonts w:ascii="Verdana" w:eastAsia="华文细黑" w:hAnsi="Verdana" w:cs="Calibri"/>
                <w:b/>
                <w:noProof/>
              </w:rPr>
              <w:t>债券发行和还本付息</w:t>
            </w:r>
            <w:r w:rsidRPr="007072FB">
              <w:rPr>
                <w:rFonts w:ascii="Verdana" w:eastAsia="华文细黑" w:hAnsi="Verdana"/>
                <w:b/>
                <w:noProof/>
              </w:rPr>
              <w:tab/>
            </w:r>
            <w:r w:rsidRPr="007072FB">
              <w:rPr>
                <w:rFonts w:ascii="Verdana" w:eastAsia="华文细黑" w:hAnsi="Verdana"/>
                <w:b/>
                <w:noProof/>
              </w:rPr>
              <w:fldChar w:fldCharType="begin"/>
            </w:r>
            <w:r w:rsidRPr="007072FB">
              <w:rPr>
                <w:rFonts w:ascii="Verdana" w:eastAsia="华文细黑" w:hAnsi="Verdana"/>
                <w:b/>
                <w:noProof/>
              </w:rPr>
              <w:instrText xml:space="preserve"> PAGEREF _Toc135044147 \h </w:instrText>
            </w:r>
            <w:r w:rsidRPr="007072FB">
              <w:rPr>
                <w:rFonts w:ascii="Verdana" w:eastAsia="华文细黑" w:hAnsi="Verdana"/>
                <w:b/>
                <w:noProof/>
              </w:rPr>
            </w:r>
            <w:r w:rsidRPr="007072FB">
              <w:rPr>
                <w:rFonts w:ascii="Verdana" w:eastAsia="华文细黑" w:hAnsi="Verdana"/>
                <w:b/>
                <w:noProof/>
              </w:rPr>
              <w:fldChar w:fldCharType="separate"/>
            </w:r>
            <w:r w:rsidR="00935712">
              <w:rPr>
                <w:rFonts w:ascii="Verdana" w:eastAsia="华文细黑" w:hAnsi="Verdana"/>
                <w:b/>
                <w:noProof/>
              </w:rPr>
              <w:t>15</w:t>
            </w:r>
            <w:r w:rsidRPr="007072FB">
              <w:rPr>
                <w:rFonts w:ascii="Verdana" w:eastAsia="华文细黑" w:hAnsi="Verdana"/>
                <w:b/>
                <w:noProof/>
              </w:rPr>
              <w:fldChar w:fldCharType="end"/>
            </w:r>
          </w:hyperlink>
        </w:p>
        <w:p w14:paraId="1C86C49F" w14:textId="47BD494D" w:rsidR="000D1B9A" w:rsidRPr="007072FB" w:rsidRDefault="00000000">
          <w:pPr>
            <w:pStyle w:val="TOC3"/>
            <w:tabs>
              <w:tab w:val="right" w:leader="dot" w:pos="8630"/>
            </w:tabs>
            <w:spacing w:line="360" w:lineRule="auto"/>
            <w:rPr>
              <w:rFonts w:ascii="Verdana" w:eastAsia="华文细黑" w:hAnsi="Verdana" w:cstheme="minorBidi"/>
              <w:b/>
              <w:noProof/>
              <w:kern w:val="2"/>
            </w:rPr>
          </w:pPr>
          <w:hyperlink w:anchor="_Toc135044148" w:history="1">
            <w:r w:rsidRPr="007072FB">
              <w:rPr>
                <w:rStyle w:val="afc"/>
                <w:rFonts w:ascii="Verdana" w:eastAsia="华文细黑" w:hAnsi="Verdana" w:cs="Calibri"/>
                <w:b/>
                <w:noProof/>
              </w:rPr>
              <w:t>1.3</w:t>
            </w:r>
            <w:r w:rsidRPr="007072FB">
              <w:rPr>
                <w:rStyle w:val="afc"/>
                <w:rFonts w:ascii="Verdana" w:eastAsia="华文细黑" w:hAnsi="Verdana" w:cs="Calibri"/>
                <w:b/>
                <w:noProof/>
              </w:rPr>
              <w:t>发债项目盈利能力、偿债能力和可持续性</w:t>
            </w:r>
            <w:r w:rsidRPr="007072FB">
              <w:rPr>
                <w:rFonts w:ascii="Verdana" w:eastAsia="华文细黑" w:hAnsi="Verdana"/>
                <w:b/>
                <w:noProof/>
              </w:rPr>
              <w:tab/>
            </w:r>
            <w:r w:rsidRPr="007072FB">
              <w:rPr>
                <w:rFonts w:ascii="Verdana" w:eastAsia="华文细黑" w:hAnsi="Verdana"/>
                <w:b/>
                <w:noProof/>
              </w:rPr>
              <w:fldChar w:fldCharType="begin"/>
            </w:r>
            <w:r w:rsidRPr="007072FB">
              <w:rPr>
                <w:rFonts w:ascii="Verdana" w:eastAsia="华文细黑" w:hAnsi="Verdana"/>
                <w:b/>
                <w:noProof/>
              </w:rPr>
              <w:instrText xml:space="preserve"> PAGEREF _Toc135044148 \h </w:instrText>
            </w:r>
            <w:r w:rsidRPr="007072FB">
              <w:rPr>
                <w:rFonts w:ascii="Verdana" w:eastAsia="华文细黑" w:hAnsi="Verdana"/>
                <w:b/>
                <w:noProof/>
              </w:rPr>
            </w:r>
            <w:r w:rsidRPr="007072FB">
              <w:rPr>
                <w:rFonts w:ascii="Verdana" w:eastAsia="华文细黑" w:hAnsi="Verdana"/>
                <w:b/>
                <w:noProof/>
              </w:rPr>
              <w:fldChar w:fldCharType="separate"/>
            </w:r>
            <w:r w:rsidR="00935712">
              <w:rPr>
                <w:rFonts w:ascii="Verdana" w:eastAsia="华文细黑" w:hAnsi="Verdana"/>
                <w:b/>
                <w:noProof/>
              </w:rPr>
              <w:t>18</w:t>
            </w:r>
            <w:r w:rsidRPr="007072FB">
              <w:rPr>
                <w:rFonts w:ascii="Verdana" w:eastAsia="华文细黑" w:hAnsi="Verdana"/>
                <w:b/>
                <w:noProof/>
              </w:rPr>
              <w:fldChar w:fldCharType="end"/>
            </w:r>
          </w:hyperlink>
        </w:p>
        <w:p w14:paraId="7931D4A3" w14:textId="06975B22" w:rsidR="000D1B9A" w:rsidRPr="007072FB" w:rsidRDefault="00000000">
          <w:pPr>
            <w:pStyle w:val="TOC3"/>
            <w:tabs>
              <w:tab w:val="right" w:leader="dot" w:pos="8630"/>
            </w:tabs>
            <w:spacing w:line="360" w:lineRule="auto"/>
            <w:rPr>
              <w:rFonts w:ascii="Verdana" w:eastAsia="华文细黑" w:hAnsi="Verdana" w:cstheme="minorBidi"/>
              <w:b/>
              <w:noProof/>
              <w:kern w:val="2"/>
            </w:rPr>
          </w:pPr>
          <w:hyperlink w:anchor="_Toc135044149" w:history="1">
            <w:r w:rsidRPr="007072FB">
              <w:rPr>
                <w:rStyle w:val="afc"/>
                <w:rFonts w:ascii="Verdana" w:eastAsia="华文细黑" w:hAnsi="Verdana" w:cs="Calibri"/>
                <w:b/>
                <w:noProof/>
              </w:rPr>
              <w:t>1.4</w:t>
            </w:r>
            <w:r w:rsidRPr="007072FB">
              <w:rPr>
                <w:rStyle w:val="afc"/>
                <w:rFonts w:ascii="Verdana" w:eastAsia="华文细黑" w:hAnsi="Verdana" w:cs="Calibri"/>
                <w:b/>
                <w:noProof/>
              </w:rPr>
              <w:t>小结</w:t>
            </w:r>
            <w:r w:rsidRPr="007072FB">
              <w:rPr>
                <w:rFonts w:ascii="Verdana" w:eastAsia="华文细黑" w:hAnsi="Verdana"/>
                <w:b/>
                <w:noProof/>
              </w:rPr>
              <w:tab/>
            </w:r>
            <w:r w:rsidRPr="007072FB">
              <w:rPr>
                <w:rFonts w:ascii="Verdana" w:eastAsia="华文细黑" w:hAnsi="Verdana"/>
                <w:b/>
                <w:noProof/>
              </w:rPr>
              <w:fldChar w:fldCharType="begin"/>
            </w:r>
            <w:r w:rsidRPr="007072FB">
              <w:rPr>
                <w:rFonts w:ascii="Verdana" w:eastAsia="华文细黑" w:hAnsi="Verdana"/>
                <w:b/>
                <w:noProof/>
              </w:rPr>
              <w:instrText xml:space="preserve"> PAGEREF _Toc135044149 \h </w:instrText>
            </w:r>
            <w:r w:rsidRPr="007072FB">
              <w:rPr>
                <w:rFonts w:ascii="Verdana" w:eastAsia="华文细黑" w:hAnsi="Verdana"/>
                <w:b/>
                <w:noProof/>
              </w:rPr>
            </w:r>
            <w:r w:rsidRPr="007072FB">
              <w:rPr>
                <w:rFonts w:ascii="Verdana" w:eastAsia="华文细黑" w:hAnsi="Verdana"/>
                <w:b/>
                <w:noProof/>
              </w:rPr>
              <w:fldChar w:fldCharType="separate"/>
            </w:r>
            <w:r w:rsidR="00935712">
              <w:rPr>
                <w:rFonts w:ascii="Verdana" w:eastAsia="华文细黑" w:hAnsi="Verdana"/>
                <w:b/>
                <w:noProof/>
              </w:rPr>
              <w:t>21</w:t>
            </w:r>
            <w:r w:rsidRPr="007072FB">
              <w:rPr>
                <w:rFonts w:ascii="Verdana" w:eastAsia="华文细黑" w:hAnsi="Verdana"/>
                <w:b/>
                <w:noProof/>
              </w:rPr>
              <w:fldChar w:fldCharType="end"/>
            </w:r>
          </w:hyperlink>
        </w:p>
        <w:p w14:paraId="07B758FF" w14:textId="2C470ED4" w:rsidR="000D1B9A" w:rsidRPr="007072FB" w:rsidRDefault="00000000">
          <w:pPr>
            <w:pStyle w:val="TOC1"/>
            <w:spacing w:line="360" w:lineRule="auto"/>
            <w:rPr>
              <w:rFonts w:ascii="Verdana" w:hAnsi="Verdana" w:cstheme="minorBidi"/>
              <w:noProof/>
              <w:kern w:val="2"/>
            </w:rPr>
          </w:pPr>
          <w:hyperlink w:anchor="_Toc135044150" w:history="1">
            <w:r w:rsidRPr="007072FB">
              <w:rPr>
                <w:rStyle w:val="afc"/>
                <w:rFonts w:ascii="Verdana" w:hAnsi="Verdana" w:cs="Calibri"/>
                <w:noProof/>
              </w:rPr>
              <w:t>2.</w:t>
            </w:r>
            <w:r w:rsidRPr="007072FB">
              <w:rPr>
                <w:rStyle w:val="afc"/>
                <w:rFonts w:ascii="Verdana" w:hAnsi="Verdana" w:cs="Calibri"/>
                <w:noProof/>
              </w:rPr>
              <w:t>资金稳定性</w:t>
            </w:r>
            <w:r w:rsidRPr="007072FB">
              <w:rPr>
                <w:rFonts w:ascii="Verdana" w:hAnsi="Verdana"/>
                <w:noProof/>
              </w:rPr>
              <w:tab/>
            </w:r>
            <w:r w:rsidRPr="007072FB">
              <w:rPr>
                <w:rFonts w:ascii="Verdana" w:hAnsi="Verdana"/>
                <w:noProof/>
              </w:rPr>
              <w:fldChar w:fldCharType="begin"/>
            </w:r>
            <w:r w:rsidRPr="007072FB">
              <w:rPr>
                <w:rFonts w:ascii="Verdana" w:hAnsi="Verdana"/>
                <w:noProof/>
              </w:rPr>
              <w:instrText xml:space="preserve"> PAGEREF _Toc135044150 \h </w:instrText>
            </w:r>
            <w:r w:rsidRPr="007072FB">
              <w:rPr>
                <w:rFonts w:ascii="Verdana" w:hAnsi="Verdana"/>
                <w:noProof/>
              </w:rPr>
            </w:r>
            <w:r w:rsidRPr="007072FB">
              <w:rPr>
                <w:rFonts w:ascii="Verdana" w:hAnsi="Verdana"/>
                <w:noProof/>
              </w:rPr>
              <w:fldChar w:fldCharType="separate"/>
            </w:r>
            <w:r w:rsidR="00935712">
              <w:rPr>
                <w:rFonts w:ascii="Verdana" w:hAnsi="Verdana"/>
                <w:noProof/>
              </w:rPr>
              <w:t>21</w:t>
            </w:r>
            <w:r w:rsidRPr="007072FB">
              <w:rPr>
                <w:rFonts w:ascii="Verdana" w:hAnsi="Verdana"/>
                <w:noProof/>
              </w:rPr>
              <w:fldChar w:fldCharType="end"/>
            </w:r>
          </w:hyperlink>
        </w:p>
        <w:p w14:paraId="1FDDD1C8" w14:textId="026EEDB0" w:rsidR="000D1B9A" w:rsidRPr="007072FB" w:rsidRDefault="00000000">
          <w:pPr>
            <w:pStyle w:val="TOC1"/>
            <w:spacing w:line="360" w:lineRule="auto"/>
            <w:rPr>
              <w:rFonts w:ascii="Verdana" w:hAnsi="Verdana" w:cstheme="minorBidi"/>
              <w:noProof/>
              <w:kern w:val="2"/>
            </w:rPr>
          </w:pPr>
          <w:hyperlink w:anchor="_Toc135044151" w:history="1">
            <w:r w:rsidRPr="007072FB">
              <w:rPr>
                <w:rStyle w:val="afc"/>
                <w:rFonts w:ascii="Verdana" w:hAnsi="Verdana" w:cs="Calibri"/>
                <w:noProof/>
              </w:rPr>
              <w:t>四、风险分析</w:t>
            </w:r>
            <w:r w:rsidRPr="007072FB">
              <w:rPr>
                <w:rFonts w:ascii="Verdana" w:hAnsi="Verdana"/>
                <w:noProof/>
              </w:rPr>
              <w:tab/>
            </w:r>
            <w:r w:rsidRPr="007072FB">
              <w:rPr>
                <w:rFonts w:ascii="Verdana" w:hAnsi="Verdana"/>
                <w:noProof/>
              </w:rPr>
              <w:fldChar w:fldCharType="begin"/>
            </w:r>
            <w:r w:rsidRPr="007072FB">
              <w:rPr>
                <w:rFonts w:ascii="Verdana" w:hAnsi="Verdana"/>
                <w:noProof/>
              </w:rPr>
              <w:instrText xml:space="preserve"> PAGEREF _Toc135044151 \h </w:instrText>
            </w:r>
            <w:r w:rsidRPr="007072FB">
              <w:rPr>
                <w:rFonts w:ascii="Verdana" w:hAnsi="Verdana"/>
                <w:noProof/>
              </w:rPr>
            </w:r>
            <w:r w:rsidRPr="007072FB">
              <w:rPr>
                <w:rFonts w:ascii="Verdana" w:hAnsi="Verdana"/>
                <w:noProof/>
              </w:rPr>
              <w:fldChar w:fldCharType="separate"/>
            </w:r>
            <w:r w:rsidR="00935712">
              <w:rPr>
                <w:rFonts w:ascii="Verdana" w:hAnsi="Verdana"/>
                <w:noProof/>
              </w:rPr>
              <w:t>22</w:t>
            </w:r>
            <w:r w:rsidRPr="007072FB">
              <w:rPr>
                <w:rFonts w:ascii="Verdana" w:hAnsi="Verdana"/>
                <w:noProof/>
              </w:rPr>
              <w:fldChar w:fldCharType="end"/>
            </w:r>
          </w:hyperlink>
        </w:p>
        <w:p w14:paraId="1BC5A067" w14:textId="01CAA7ED" w:rsidR="000D1B9A" w:rsidRPr="007072FB" w:rsidRDefault="00000000">
          <w:pPr>
            <w:pStyle w:val="TOC1"/>
            <w:spacing w:line="360" w:lineRule="auto"/>
            <w:rPr>
              <w:rFonts w:ascii="Verdana" w:hAnsi="Verdana" w:cstheme="minorBidi"/>
              <w:noProof/>
              <w:kern w:val="2"/>
            </w:rPr>
          </w:pPr>
          <w:hyperlink w:anchor="_Toc135044152" w:history="1">
            <w:r w:rsidRPr="007072FB">
              <w:rPr>
                <w:rStyle w:val="afc"/>
                <w:rFonts w:ascii="Verdana" w:hAnsi="Verdana" w:cs="Calibri"/>
                <w:noProof/>
              </w:rPr>
              <w:t>五、评</w:t>
            </w:r>
            <w:r w:rsidR="00D978F6">
              <w:rPr>
                <w:rStyle w:val="afc"/>
                <w:rFonts w:ascii="Verdana" w:hAnsi="Verdana" w:cs="Calibri" w:hint="eastAsia"/>
                <w:noProof/>
              </w:rPr>
              <w:t>价</w:t>
            </w:r>
            <w:r w:rsidRPr="007072FB">
              <w:rPr>
                <w:rStyle w:val="afc"/>
                <w:rFonts w:ascii="Verdana" w:hAnsi="Verdana" w:cs="Calibri"/>
                <w:noProof/>
              </w:rPr>
              <w:t>结论</w:t>
            </w:r>
            <w:r w:rsidRPr="007072FB">
              <w:rPr>
                <w:rFonts w:ascii="Verdana" w:hAnsi="Verdana"/>
                <w:noProof/>
              </w:rPr>
              <w:tab/>
            </w:r>
            <w:r w:rsidRPr="007072FB">
              <w:rPr>
                <w:rFonts w:ascii="Verdana" w:hAnsi="Verdana"/>
                <w:noProof/>
              </w:rPr>
              <w:fldChar w:fldCharType="begin"/>
            </w:r>
            <w:r w:rsidRPr="007072FB">
              <w:rPr>
                <w:rFonts w:ascii="Verdana" w:hAnsi="Verdana"/>
                <w:noProof/>
              </w:rPr>
              <w:instrText xml:space="preserve"> PAGEREF _Toc135044152 \h </w:instrText>
            </w:r>
            <w:r w:rsidRPr="007072FB">
              <w:rPr>
                <w:rFonts w:ascii="Verdana" w:hAnsi="Verdana"/>
                <w:noProof/>
              </w:rPr>
            </w:r>
            <w:r w:rsidRPr="007072FB">
              <w:rPr>
                <w:rFonts w:ascii="Verdana" w:hAnsi="Verdana"/>
                <w:noProof/>
              </w:rPr>
              <w:fldChar w:fldCharType="separate"/>
            </w:r>
            <w:r w:rsidR="00935712">
              <w:rPr>
                <w:rFonts w:ascii="Verdana" w:hAnsi="Verdana"/>
                <w:noProof/>
              </w:rPr>
              <w:t>22</w:t>
            </w:r>
            <w:r w:rsidRPr="007072FB">
              <w:rPr>
                <w:rFonts w:ascii="Verdana" w:hAnsi="Verdana"/>
                <w:noProof/>
              </w:rPr>
              <w:fldChar w:fldCharType="end"/>
            </w:r>
          </w:hyperlink>
        </w:p>
        <w:p w14:paraId="07A7527C" w14:textId="412EC346" w:rsidR="000D1B9A" w:rsidRPr="007072FB" w:rsidRDefault="00000000">
          <w:pPr>
            <w:pStyle w:val="TOC1"/>
            <w:spacing w:line="360" w:lineRule="auto"/>
            <w:rPr>
              <w:rFonts w:ascii="Verdana" w:hAnsi="Verdana" w:cstheme="minorBidi"/>
              <w:noProof/>
              <w:kern w:val="2"/>
            </w:rPr>
          </w:pPr>
          <w:hyperlink w:anchor="_Toc135044153" w:history="1">
            <w:r w:rsidRPr="007072FB">
              <w:rPr>
                <w:rStyle w:val="afc"/>
                <w:rFonts w:ascii="Verdana" w:hAnsi="Verdana" w:cs="Calibri"/>
                <w:noProof/>
              </w:rPr>
              <w:t>附件</w:t>
            </w:r>
            <w:r w:rsidRPr="007072FB">
              <w:rPr>
                <w:rStyle w:val="afc"/>
                <w:rFonts w:ascii="Verdana" w:hAnsi="Verdana" w:cs="Calibri"/>
                <w:noProof/>
              </w:rPr>
              <w:t>1</w:t>
            </w:r>
            <w:r w:rsidRPr="007072FB">
              <w:rPr>
                <w:rStyle w:val="afc"/>
                <w:rFonts w:ascii="Verdana" w:hAnsi="Verdana" w:cs="Calibri"/>
                <w:noProof/>
              </w:rPr>
              <w:t>：预期收益及成本分析</w:t>
            </w:r>
            <w:r w:rsidRPr="007072FB">
              <w:rPr>
                <w:rFonts w:ascii="Verdana" w:hAnsi="Verdana"/>
                <w:noProof/>
              </w:rPr>
              <w:tab/>
            </w:r>
            <w:r w:rsidRPr="007072FB">
              <w:rPr>
                <w:rFonts w:ascii="Verdana" w:hAnsi="Verdana"/>
                <w:noProof/>
              </w:rPr>
              <w:fldChar w:fldCharType="begin"/>
            </w:r>
            <w:r w:rsidRPr="007072FB">
              <w:rPr>
                <w:rFonts w:ascii="Verdana" w:hAnsi="Verdana"/>
                <w:noProof/>
              </w:rPr>
              <w:instrText xml:space="preserve"> PAGEREF _Toc135044153 \h </w:instrText>
            </w:r>
            <w:r w:rsidRPr="007072FB">
              <w:rPr>
                <w:rFonts w:ascii="Verdana" w:hAnsi="Verdana"/>
                <w:noProof/>
              </w:rPr>
            </w:r>
            <w:r w:rsidRPr="007072FB">
              <w:rPr>
                <w:rFonts w:ascii="Verdana" w:hAnsi="Verdana"/>
                <w:noProof/>
              </w:rPr>
              <w:fldChar w:fldCharType="separate"/>
            </w:r>
            <w:r w:rsidR="00935712">
              <w:rPr>
                <w:rFonts w:ascii="Verdana" w:hAnsi="Verdana"/>
                <w:noProof/>
              </w:rPr>
              <w:t>24</w:t>
            </w:r>
            <w:r w:rsidRPr="007072FB">
              <w:rPr>
                <w:rFonts w:ascii="Verdana" w:hAnsi="Verdana"/>
                <w:noProof/>
              </w:rPr>
              <w:fldChar w:fldCharType="end"/>
            </w:r>
          </w:hyperlink>
        </w:p>
        <w:p w14:paraId="391401F7" w14:textId="38571319" w:rsidR="000D1B9A" w:rsidRPr="007072FB" w:rsidRDefault="00000000">
          <w:pPr>
            <w:pStyle w:val="TOC1"/>
            <w:spacing w:line="360" w:lineRule="auto"/>
            <w:rPr>
              <w:rFonts w:ascii="Verdana" w:hAnsi="Verdana" w:cstheme="minorBidi"/>
              <w:noProof/>
              <w:kern w:val="2"/>
            </w:rPr>
          </w:pPr>
          <w:hyperlink w:anchor="_Toc135044154" w:history="1">
            <w:r w:rsidRPr="007072FB">
              <w:rPr>
                <w:rStyle w:val="afc"/>
                <w:rFonts w:ascii="Verdana" w:hAnsi="Verdana" w:cs="Calibri"/>
                <w:noProof/>
              </w:rPr>
              <w:t>附件</w:t>
            </w:r>
            <w:r w:rsidRPr="007072FB">
              <w:rPr>
                <w:rStyle w:val="afc"/>
                <w:rFonts w:ascii="Verdana" w:hAnsi="Verdana" w:cs="Calibri"/>
                <w:noProof/>
              </w:rPr>
              <w:t>2</w:t>
            </w:r>
            <w:r w:rsidRPr="007072FB">
              <w:rPr>
                <w:rStyle w:val="afc"/>
                <w:rFonts w:ascii="Verdana" w:hAnsi="Verdana" w:cs="Calibri"/>
                <w:noProof/>
              </w:rPr>
              <w:t>：运营收入支出表</w:t>
            </w:r>
            <w:r w:rsidRPr="007072FB">
              <w:rPr>
                <w:rFonts w:ascii="Verdana" w:hAnsi="Verdana"/>
                <w:noProof/>
              </w:rPr>
              <w:tab/>
            </w:r>
            <w:r w:rsidRPr="007072FB">
              <w:rPr>
                <w:rFonts w:ascii="Verdana" w:hAnsi="Verdana"/>
                <w:noProof/>
              </w:rPr>
              <w:fldChar w:fldCharType="begin"/>
            </w:r>
            <w:r w:rsidRPr="007072FB">
              <w:rPr>
                <w:rFonts w:ascii="Verdana" w:hAnsi="Verdana"/>
                <w:noProof/>
              </w:rPr>
              <w:instrText xml:space="preserve"> PAGEREF _Toc135044154 \h </w:instrText>
            </w:r>
            <w:r w:rsidRPr="007072FB">
              <w:rPr>
                <w:rFonts w:ascii="Verdana" w:hAnsi="Verdana"/>
                <w:noProof/>
              </w:rPr>
            </w:r>
            <w:r w:rsidRPr="007072FB">
              <w:rPr>
                <w:rFonts w:ascii="Verdana" w:hAnsi="Verdana"/>
                <w:noProof/>
              </w:rPr>
              <w:fldChar w:fldCharType="separate"/>
            </w:r>
            <w:r w:rsidR="00935712">
              <w:rPr>
                <w:rFonts w:ascii="Verdana" w:hAnsi="Verdana"/>
                <w:noProof/>
              </w:rPr>
              <w:t>25</w:t>
            </w:r>
            <w:r w:rsidRPr="007072FB">
              <w:rPr>
                <w:rFonts w:ascii="Verdana" w:hAnsi="Verdana"/>
                <w:noProof/>
              </w:rPr>
              <w:fldChar w:fldCharType="end"/>
            </w:r>
          </w:hyperlink>
        </w:p>
        <w:p w14:paraId="4F9C2CEF" w14:textId="425902D7" w:rsidR="000D1B9A" w:rsidRPr="007072FB" w:rsidRDefault="00000000">
          <w:pPr>
            <w:pStyle w:val="TOC1"/>
            <w:spacing w:line="360" w:lineRule="auto"/>
            <w:rPr>
              <w:rFonts w:ascii="Verdana" w:hAnsi="Verdana" w:cstheme="minorBidi"/>
              <w:noProof/>
              <w:kern w:val="2"/>
            </w:rPr>
          </w:pPr>
          <w:hyperlink w:anchor="_Toc135044155" w:history="1">
            <w:r w:rsidRPr="007072FB">
              <w:rPr>
                <w:rStyle w:val="afc"/>
                <w:rFonts w:ascii="Verdana" w:hAnsi="Verdana" w:cs="Calibri"/>
                <w:noProof/>
              </w:rPr>
              <w:t>免责声明</w:t>
            </w:r>
            <w:r w:rsidRPr="007072FB">
              <w:rPr>
                <w:rFonts w:ascii="Verdana" w:hAnsi="Verdana"/>
                <w:noProof/>
              </w:rPr>
              <w:tab/>
            </w:r>
            <w:r w:rsidRPr="007072FB">
              <w:rPr>
                <w:rFonts w:ascii="Verdana" w:hAnsi="Verdana"/>
                <w:noProof/>
              </w:rPr>
              <w:fldChar w:fldCharType="begin"/>
            </w:r>
            <w:r w:rsidRPr="007072FB">
              <w:rPr>
                <w:rFonts w:ascii="Verdana" w:hAnsi="Verdana"/>
                <w:noProof/>
              </w:rPr>
              <w:instrText xml:space="preserve"> PAGEREF _Toc135044155 \h </w:instrText>
            </w:r>
            <w:r w:rsidRPr="007072FB">
              <w:rPr>
                <w:rFonts w:ascii="Verdana" w:hAnsi="Verdana"/>
                <w:noProof/>
              </w:rPr>
            </w:r>
            <w:r w:rsidRPr="007072FB">
              <w:rPr>
                <w:rFonts w:ascii="Verdana" w:hAnsi="Verdana"/>
                <w:noProof/>
              </w:rPr>
              <w:fldChar w:fldCharType="separate"/>
            </w:r>
            <w:r w:rsidR="00935712">
              <w:rPr>
                <w:rFonts w:ascii="Verdana" w:hAnsi="Verdana"/>
                <w:noProof/>
              </w:rPr>
              <w:t>26</w:t>
            </w:r>
            <w:r w:rsidRPr="007072FB">
              <w:rPr>
                <w:rFonts w:ascii="Verdana" w:hAnsi="Verdana"/>
                <w:noProof/>
              </w:rPr>
              <w:fldChar w:fldCharType="end"/>
            </w:r>
          </w:hyperlink>
        </w:p>
        <w:p w14:paraId="35749C40" w14:textId="77777777" w:rsidR="000D1B9A" w:rsidRPr="007072FB" w:rsidRDefault="00000000">
          <w:pPr>
            <w:spacing w:line="360" w:lineRule="auto"/>
            <w:rPr>
              <w:rFonts w:ascii="Verdana" w:eastAsia="华文细黑" w:hAnsi="Verdana" w:cs="Calibri"/>
            </w:rPr>
          </w:pPr>
          <w:r w:rsidRPr="007072FB">
            <w:rPr>
              <w:rFonts w:ascii="Verdana" w:eastAsia="华文细黑" w:hAnsi="Verdana" w:cs="Calibri"/>
              <w:bCs/>
              <w:szCs w:val="20"/>
            </w:rPr>
            <w:fldChar w:fldCharType="end"/>
          </w:r>
        </w:p>
      </w:sdtContent>
    </w:sdt>
    <w:p w14:paraId="559B0B68" w14:textId="77777777" w:rsidR="000D1B9A" w:rsidRPr="007072FB" w:rsidRDefault="000D1B9A">
      <w:pPr>
        <w:spacing w:line="360" w:lineRule="auto"/>
        <w:rPr>
          <w:rFonts w:ascii="Verdana" w:eastAsia="华文细黑" w:hAnsi="Verdana" w:cs="Calibri"/>
        </w:rPr>
        <w:sectPr w:rsidR="000D1B9A" w:rsidRPr="007072FB">
          <w:footerReference w:type="default" r:id="rId10"/>
          <w:pgSz w:w="12240" w:h="15840"/>
          <w:pgMar w:top="1440" w:right="1800" w:bottom="1440" w:left="1800" w:header="708" w:footer="708" w:gutter="0"/>
          <w:cols w:space="720"/>
        </w:sectPr>
      </w:pPr>
    </w:p>
    <w:p w14:paraId="38116B8D" w14:textId="77777777" w:rsidR="000D1B9A" w:rsidRPr="007072FB" w:rsidRDefault="00000000">
      <w:pPr>
        <w:spacing w:after="160"/>
        <w:rPr>
          <w:rFonts w:ascii="Verdana" w:eastAsia="华文细黑" w:hAnsi="Verdana" w:cs="Calibri"/>
        </w:rPr>
      </w:pPr>
      <w:r w:rsidRPr="007072FB">
        <w:rPr>
          <w:rFonts w:ascii="Verdana" w:eastAsia="华文细黑" w:hAnsi="Verdana" w:cs="Calibri"/>
          <w:noProof/>
        </w:rPr>
        <w:lastRenderedPageBreak/>
        <w:drawing>
          <wp:inline distT="0" distB="0" distL="0" distR="0" wp14:anchorId="6AACF3AF" wp14:editId="080D638F">
            <wp:extent cx="1266190" cy="344170"/>
            <wp:effectExtent l="0" t="0" r="0" b="0"/>
            <wp:docPr id="1030" name="Picture 8"/>
            <wp:cNvGraphicFramePr/>
            <a:graphic xmlns:a="http://schemas.openxmlformats.org/drawingml/2006/main">
              <a:graphicData uri="http://schemas.openxmlformats.org/drawingml/2006/picture">
                <pic:pic xmlns:pic="http://schemas.openxmlformats.org/drawingml/2006/picture">
                  <pic:nvPicPr>
                    <pic:cNvPr id="1030" name="Picture 8"/>
                    <pic:cNvPicPr/>
                  </pic:nvPicPr>
                  <pic:blipFill>
                    <a:blip r:embed="rId11" cstate="print"/>
                    <a:srcRect/>
                    <a:stretch>
                      <a:fillRect/>
                    </a:stretch>
                  </pic:blipFill>
                  <pic:spPr>
                    <a:xfrm>
                      <a:off x="0" y="0"/>
                      <a:ext cx="1266190" cy="344170"/>
                    </a:xfrm>
                    <a:prstGeom prst="rect">
                      <a:avLst/>
                    </a:prstGeom>
                  </pic:spPr>
                </pic:pic>
              </a:graphicData>
            </a:graphic>
          </wp:inline>
        </w:drawing>
      </w:r>
      <w:r w:rsidRPr="007072FB">
        <w:rPr>
          <w:rFonts w:ascii="Verdana" w:eastAsia="华文细黑" w:hAnsi="Verdana" w:cs="Calibri"/>
        </w:rPr>
        <w:t xml:space="preserve">                                                                  </w:t>
      </w:r>
      <w:r w:rsidRPr="007072FB">
        <w:rPr>
          <w:rFonts w:ascii="Verdana" w:eastAsia="华文细黑" w:hAnsi="Verdana" w:cs="Calibri"/>
          <w:noProof/>
          <w:color w:val="FFFFFF"/>
        </w:rPr>
        <w:drawing>
          <wp:anchor distT="0" distB="0" distL="114300" distR="114300" simplePos="0" relativeHeight="251659264" behindDoc="0" locked="0" layoutInCell="1" allowOverlap="1" wp14:anchorId="04B11668" wp14:editId="18B542C4">
            <wp:simplePos x="0" y="0"/>
            <wp:positionH relativeFrom="margin">
              <wp:align>right</wp:align>
            </wp:positionH>
            <wp:positionV relativeFrom="margin">
              <wp:align>top</wp:align>
            </wp:positionV>
            <wp:extent cx="534670" cy="260985"/>
            <wp:effectExtent l="0" t="0" r="0" b="5715"/>
            <wp:wrapSquare wrapText="bothSides"/>
            <wp:docPr id="1031" name="Picture 8"/>
            <wp:cNvGraphicFramePr/>
            <a:graphic xmlns:a="http://schemas.openxmlformats.org/drawingml/2006/main">
              <a:graphicData uri="http://schemas.openxmlformats.org/drawingml/2006/picture">
                <pic:pic xmlns:pic="http://schemas.openxmlformats.org/drawingml/2006/picture">
                  <pic:nvPicPr>
                    <pic:cNvPr id="1031" name="Picture 8"/>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34670" cy="260985"/>
                    </a:xfrm>
                    <a:prstGeom prst="rect">
                      <a:avLst/>
                    </a:prstGeom>
                    <a:ln>
                      <a:noFill/>
                    </a:ln>
                  </pic:spPr>
                </pic:pic>
              </a:graphicData>
            </a:graphic>
          </wp:anchor>
        </w:drawing>
      </w:r>
    </w:p>
    <w:p w14:paraId="0F57C0BD" w14:textId="77777777" w:rsidR="000D1B9A" w:rsidRPr="007072FB" w:rsidRDefault="000D1B9A">
      <w:pPr>
        <w:jc w:val="center"/>
        <w:rPr>
          <w:rFonts w:ascii="Verdana" w:eastAsia="华文细黑" w:hAnsi="Verdana" w:cs="Calibri"/>
          <w:b/>
          <w:sz w:val="32"/>
          <w:szCs w:val="32"/>
        </w:rPr>
      </w:pPr>
    </w:p>
    <w:p w14:paraId="20BB7609" w14:textId="77777777" w:rsidR="00E264A5" w:rsidRPr="00E264A5" w:rsidRDefault="00E264A5" w:rsidP="00E264A5">
      <w:pPr>
        <w:jc w:val="center"/>
        <w:rPr>
          <w:rFonts w:ascii="Verdana" w:eastAsia="华文细黑" w:hAnsi="Verdana"/>
          <w:b/>
          <w:sz w:val="32"/>
          <w:szCs w:val="32"/>
        </w:rPr>
      </w:pPr>
      <w:r w:rsidRPr="00E264A5">
        <w:rPr>
          <w:rFonts w:ascii="Verdana" w:eastAsia="华文细黑" w:hAnsi="Verdana"/>
          <w:b/>
          <w:sz w:val="32"/>
          <w:szCs w:val="32"/>
        </w:rPr>
        <w:t>2024</w:t>
      </w:r>
      <w:r w:rsidRPr="00E264A5">
        <w:rPr>
          <w:rFonts w:ascii="Verdana" w:eastAsia="华文细黑" w:hAnsi="Verdana" w:hint="eastAsia"/>
          <w:b/>
          <w:sz w:val="32"/>
          <w:szCs w:val="32"/>
        </w:rPr>
        <w:t>年海南省政府专项债券（二十四期）</w:t>
      </w:r>
    </w:p>
    <w:p w14:paraId="52ABFE87" w14:textId="77777777" w:rsidR="00E264A5" w:rsidRPr="00E264A5" w:rsidRDefault="00E264A5" w:rsidP="00E264A5">
      <w:pPr>
        <w:jc w:val="center"/>
        <w:rPr>
          <w:rFonts w:ascii="Verdana" w:eastAsia="华文细黑" w:hAnsi="Verdana"/>
          <w:b/>
          <w:sz w:val="32"/>
          <w:szCs w:val="32"/>
        </w:rPr>
      </w:pPr>
      <w:r w:rsidRPr="00E264A5">
        <w:rPr>
          <w:rFonts w:ascii="Verdana" w:eastAsia="华文细黑" w:hAnsi="Verdana"/>
          <w:b/>
          <w:sz w:val="32"/>
          <w:szCs w:val="32"/>
        </w:rPr>
        <w:t>2024</w:t>
      </w:r>
      <w:r w:rsidRPr="00E264A5">
        <w:rPr>
          <w:rFonts w:ascii="Verdana" w:eastAsia="华文细黑" w:hAnsi="Verdana" w:hint="eastAsia"/>
          <w:b/>
          <w:sz w:val="32"/>
          <w:szCs w:val="32"/>
        </w:rPr>
        <w:t>年海南省政府专项债券（二十五期）</w:t>
      </w:r>
    </w:p>
    <w:p w14:paraId="2B5050EB" w14:textId="77777777" w:rsidR="00E264A5" w:rsidRPr="00E264A5" w:rsidRDefault="00E264A5" w:rsidP="00E264A5">
      <w:pPr>
        <w:jc w:val="center"/>
        <w:rPr>
          <w:rFonts w:ascii="Verdana" w:eastAsia="华文细黑" w:hAnsi="Verdana"/>
          <w:b/>
          <w:sz w:val="32"/>
          <w:szCs w:val="32"/>
        </w:rPr>
      </w:pPr>
      <w:r w:rsidRPr="00E264A5">
        <w:rPr>
          <w:rFonts w:ascii="Verdana" w:eastAsia="华文细黑" w:hAnsi="Verdana" w:hint="eastAsia"/>
          <w:b/>
          <w:sz w:val="32"/>
          <w:szCs w:val="32"/>
        </w:rPr>
        <w:t>资金调整——</w:t>
      </w:r>
    </w:p>
    <w:p w14:paraId="3489D533" w14:textId="50D481B4" w:rsidR="000D1B9A" w:rsidRPr="007072FB" w:rsidRDefault="00E264A5" w:rsidP="007733E3">
      <w:pPr>
        <w:spacing w:line="360" w:lineRule="auto"/>
        <w:jc w:val="center"/>
        <w:rPr>
          <w:rFonts w:ascii="Verdana" w:eastAsia="华文细黑" w:hAnsi="Verdana"/>
          <w:b/>
          <w:sz w:val="32"/>
          <w:szCs w:val="32"/>
        </w:rPr>
      </w:pPr>
      <w:r w:rsidRPr="00E264A5">
        <w:rPr>
          <w:rFonts w:ascii="Verdana" w:eastAsia="华文细黑" w:hAnsi="Verdana" w:hint="eastAsia"/>
          <w:b/>
          <w:sz w:val="32"/>
          <w:szCs w:val="32"/>
        </w:rPr>
        <w:t>三亚环通工程管理有限公司专项债券项目</w:t>
      </w:r>
    </w:p>
    <w:p w14:paraId="26C4C465" w14:textId="0F89A0C2" w:rsidR="000D1B9A" w:rsidRPr="007072FB" w:rsidRDefault="00000000">
      <w:pPr>
        <w:spacing w:line="360" w:lineRule="auto"/>
        <w:jc w:val="center"/>
        <w:rPr>
          <w:rFonts w:ascii="Verdana" w:eastAsia="华文细黑" w:hAnsi="Verdana" w:cs="Calibri"/>
          <w:b/>
          <w:sz w:val="32"/>
          <w:szCs w:val="32"/>
        </w:rPr>
      </w:pPr>
      <w:r w:rsidRPr="007072FB">
        <w:rPr>
          <w:rFonts w:ascii="Verdana" w:eastAsia="华文细黑" w:hAnsi="Verdana" w:cs="Calibri"/>
          <w:b/>
          <w:color w:val="000000"/>
          <w:sz w:val="32"/>
          <w:szCs w:val="32"/>
        </w:rPr>
        <w:t>财务评价报告</w:t>
      </w:r>
    </w:p>
    <w:p w14:paraId="65AF1960" w14:textId="77777777" w:rsidR="000D1B9A" w:rsidRPr="007072FB" w:rsidRDefault="00000000">
      <w:pPr>
        <w:spacing w:before="120" w:after="120" w:line="360" w:lineRule="auto"/>
        <w:jc w:val="both"/>
        <w:outlineLvl w:val="0"/>
        <w:rPr>
          <w:rFonts w:ascii="Verdana" w:eastAsia="华文细黑" w:hAnsi="Verdana" w:cs="Calibri"/>
          <w:b/>
        </w:rPr>
      </w:pPr>
      <w:bookmarkStart w:id="3" w:name="_Toc135044137"/>
      <w:r w:rsidRPr="007072FB">
        <w:rPr>
          <w:rFonts w:ascii="Verdana" w:eastAsia="华文细黑" w:hAnsi="Verdana" w:cs="Calibri"/>
          <w:b/>
          <w:sz w:val="32"/>
          <w:szCs w:val="32"/>
        </w:rPr>
        <w:t>一、地区经济情况</w:t>
      </w:r>
      <w:bookmarkEnd w:id="3"/>
    </w:p>
    <w:p w14:paraId="096D6B0B" w14:textId="77777777" w:rsidR="000D1B9A" w:rsidRPr="007072FB" w:rsidRDefault="00000000">
      <w:pPr>
        <w:spacing w:before="120" w:after="120" w:line="360" w:lineRule="auto"/>
        <w:outlineLvl w:val="0"/>
        <w:rPr>
          <w:rFonts w:ascii="Verdana" w:eastAsia="华文细黑" w:hAnsi="Verdana" w:cs="Calibri"/>
          <w:b/>
          <w:sz w:val="28"/>
        </w:rPr>
      </w:pPr>
      <w:bookmarkStart w:id="4" w:name="_Toc38921586"/>
      <w:bookmarkStart w:id="5" w:name="_Toc4763009"/>
      <w:bookmarkStart w:id="6" w:name="_Toc4762883"/>
      <w:bookmarkStart w:id="7" w:name="_Toc25162473"/>
      <w:bookmarkStart w:id="8" w:name="_Toc38898997"/>
      <w:bookmarkStart w:id="9" w:name="_Toc28675796"/>
      <w:bookmarkStart w:id="10" w:name="_Toc135044138"/>
      <w:bookmarkStart w:id="11" w:name="_Toc39093417"/>
      <w:r w:rsidRPr="007072FB">
        <w:rPr>
          <w:rFonts w:ascii="Verdana" w:eastAsia="华文细黑" w:hAnsi="Verdana" w:cs="Calibri"/>
          <w:b/>
          <w:sz w:val="28"/>
        </w:rPr>
        <w:t>1</w:t>
      </w:r>
      <w:r w:rsidRPr="007072FB">
        <w:rPr>
          <w:rFonts w:ascii="Verdana" w:eastAsia="华文细黑" w:hAnsi="Verdana" w:cs="Calibri"/>
          <w:b/>
          <w:sz w:val="28"/>
        </w:rPr>
        <w:t>．地区生产总值</w:t>
      </w:r>
      <w:bookmarkEnd w:id="4"/>
      <w:bookmarkEnd w:id="5"/>
      <w:bookmarkEnd w:id="6"/>
      <w:bookmarkEnd w:id="7"/>
      <w:bookmarkEnd w:id="8"/>
      <w:bookmarkEnd w:id="9"/>
      <w:bookmarkEnd w:id="10"/>
      <w:bookmarkEnd w:id="11"/>
    </w:p>
    <w:p w14:paraId="157E9F9B" w14:textId="77777777" w:rsidR="000D1B9A" w:rsidRPr="007072FB" w:rsidRDefault="00000000">
      <w:pPr>
        <w:spacing w:before="120" w:after="120" w:line="360" w:lineRule="auto"/>
        <w:ind w:firstLine="454"/>
        <w:jc w:val="both"/>
        <w:rPr>
          <w:rFonts w:ascii="Verdana" w:eastAsia="华文细黑" w:hAnsi="Verdana" w:cs="Calibri"/>
          <w:lang w:val="en-GB"/>
        </w:rPr>
      </w:pPr>
      <w:bookmarkStart w:id="12" w:name="_Toc25162474"/>
      <w:bookmarkStart w:id="13" w:name="_Toc4763010"/>
      <w:bookmarkStart w:id="14" w:name="_Toc4762884"/>
      <w:r w:rsidRPr="007072FB">
        <w:rPr>
          <w:rFonts w:ascii="Verdana" w:eastAsia="华文细黑" w:hAnsi="Verdana" w:cs="Calibri"/>
          <w:lang w:val="en-GB"/>
        </w:rPr>
        <w:t>2020</w:t>
      </w:r>
      <w:r w:rsidRPr="007072FB">
        <w:rPr>
          <w:rFonts w:ascii="Verdana" w:eastAsia="华文细黑" w:hAnsi="Verdana" w:cs="Calibri"/>
          <w:lang w:val="en-GB"/>
        </w:rPr>
        <w:t>年，三亚市全年全市生产总值（</w:t>
      </w:r>
      <w:r w:rsidRPr="007072FB">
        <w:rPr>
          <w:rFonts w:ascii="Verdana" w:eastAsia="华文细黑" w:hAnsi="Verdana" w:cs="Calibri"/>
          <w:lang w:val="en-GB"/>
        </w:rPr>
        <w:t>GDP</w:t>
      </w:r>
      <w:r w:rsidRPr="007072FB">
        <w:rPr>
          <w:rFonts w:ascii="Verdana" w:eastAsia="华文细黑" w:hAnsi="Verdana" w:cs="Calibri"/>
          <w:lang w:val="en-GB"/>
        </w:rPr>
        <w:t>）</w:t>
      </w:r>
      <w:r w:rsidRPr="007072FB">
        <w:rPr>
          <w:rFonts w:ascii="Verdana" w:eastAsia="华文细黑" w:hAnsi="Verdana" w:cs="Calibri"/>
          <w:lang w:val="en-GB"/>
        </w:rPr>
        <w:t>695.41</w:t>
      </w:r>
      <w:r w:rsidRPr="007072FB">
        <w:rPr>
          <w:rFonts w:ascii="Verdana" w:eastAsia="华文细黑" w:hAnsi="Verdana" w:cs="Calibri"/>
          <w:lang w:val="en-GB"/>
        </w:rPr>
        <w:t>亿元，按可比价格计算，比上年增长</w:t>
      </w:r>
      <w:r w:rsidRPr="007072FB">
        <w:rPr>
          <w:rFonts w:ascii="Verdana" w:eastAsia="华文细黑" w:hAnsi="Verdana" w:cs="Calibri"/>
          <w:lang w:val="en-GB"/>
        </w:rPr>
        <w:t>3.1%</w:t>
      </w:r>
      <w:r w:rsidRPr="007072FB">
        <w:rPr>
          <w:rFonts w:ascii="Verdana" w:eastAsia="华文细黑" w:hAnsi="Verdana" w:cs="Calibri"/>
          <w:lang w:val="en-GB"/>
        </w:rPr>
        <w:t>。其中，第一产业增加值</w:t>
      </w:r>
      <w:r w:rsidRPr="007072FB">
        <w:rPr>
          <w:rFonts w:ascii="Verdana" w:eastAsia="华文细黑" w:hAnsi="Verdana" w:cs="Calibri"/>
          <w:lang w:val="en-GB"/>
        </w:rPr>
        <w:t>79.16</w:t>
      </w:r>
      <w:r w:rsidRPr="007072FB">
        <w:rPr>
          <w:rFonts w:ascii="Verdana" w:eastAsia="华文细黑" w:hAnsi="Verdana" w:cs="Calibri"/>
          <w:lang w:val="en-GB"/>
        </w:rPr>
        <w:t>亿元，增长</w:t>
      </w:r>
      <w:r w:rsidRPr="007072FB">
        <w:rPr>
          <w:rFonts w:ascii="Verdana" w:eastAsia="华文细黑" w:hAnsi="Verdana" w:cs="Calibri"/>
          <w:lang w:val="en-GB"/>
        </w:rPr>
        <w:t>2.2%</w:t>
      </w:r>
      <w:r w:rsidRPr="007072FB">
        <w:rPr>
          <w:rFonts w:ascii="Verdana" w:eastAsia="华文细黑" w:hAnsi="Verdana" w:cs="Calibri"/>
          <w:lang w:val="en-GB"/>
        </w:rPr>
        <w:t>；第二产业增加值</w:t>
      </w:r>
      <w:r w:rsidRPr="007072FB">
        <w:rPr>
          <w:rFonts w:ascii="Verdana" w:eastAsia="华文细黑" w:hAnsi="Verdana" w:cs="Calibri"/>
          <w:lang w:val="en-GB"/>
        </w:rPr>
        <w:t>113.30</w:t>
      </w:r>
      <w:r w:rsidRPr="007072FB">
        <w:rPr>
          <w:rFonts w:ascii="Verdana" w:eastAsia="华文细黑" w:hAnsi="Verdana" w:cs="Calibri"/>
          <w:lang w:val="en-GB"/>
        </w:rPr>
        <w:t>亿元，增长</w:t>
      </w:r>
      <w:r w:rsidRPr="007072FB">
        <w:rPr>
          <w:rFonts w:ascii="Verdana" w:eastAsia="华文细黑" w:hAnsi="Verdana" w:cs="Calibri"/>
          <w:lang w:val="en-GB"/>
        </w:rPr>
        <w:t>3.0%</w:t>
      </w:r>
      <w:r w:rsidRPr="007072FB">
        <w:rPr>
          <w:rFonts w:ascii="Verdana" w:eastAsia="华文细黑" w:hAnsi="Verdana" w:cs="Calibri"/>
          <w:lang w:val="en-GB"/>
        </w:rPr>
        <w:t>；第三产业增加值</w:t>
      </w:r>
      <w:r w:rsidRPr="007072FB">
        <w:rPr>
          <w:rFonts w:ascii="Verdana" w:eastAsia="华文细黑" w:hAnsi="Verdana" w:cs="Calibri"/>
          <w:lang w:val="en-GB"/>
        </w:rPr>
        <w:t>502.95</w:t>
      </w:r>
      <w:r w:rsidRPr="007072FB">
        <w:rPr>
          <w:rFonts w:ascii="Verdana" w:eastAsia="华文细黑" w:hAnsi="Verdana" w:cs="Calibri"/>
          <w:lang w:val="en-GB"/>
        </w:rPr>
        <w:t>亿元，增长</w:t>
      </w:r>
      <w:r w:rsidRPr="007072FB">
        <w:rPr>
          <w:rFonts w:ascii="Verdana" w:eastAsia="华文细黑" w:hAnsi="Verdana" w:cs="Calibri"/>
          <w:lang w:val="en-GB"/>
        </w:rPr>
        <w:t>3.2%</w:t>
      </w:r>
      <w:r w:rsidRPr="007072FB">
        <w:rPr>
          <w:rFonts w:ascii="Verdana" w:eastAsia="华文细黑" w:hAnsi="Verdana" w:cs="Calibri"/>
          <w:lang w:val="en-GB"/>
        </w:rPr>
        <w:t>。三次产业结构调整为</w:t>
      </w:r>
      <w:r w:rsidRPr="007072FB">
        <w:rPr>
          <w:rFonts w:ascii="Verdana" w:eastAsia="华文细黑" w:hAnsi="Verdana" w:cs="Calibri"/>
          <w:lang w:val="en-GB"/>
        </w:rPr>
        <w:t>11.4:16.3:72.3</w:t>
      </w:r>
      <w:r w:rsidRPr="007072FB">
        <w:rPr>
          <w:rFonts w:ascii="Verdana" w:eastAsia="华文细黑" w:hAnsi="Verdana" w:cs="Calibri"/>
          <w:lang w:val="en-GB"/>
        </w:rPr>
        <w:t>。</w:t>
      </w:r>
    </w:p>
    <w:p w14:paraId="35BDB0B6" w14:textId="77777777" w:rsidR="000D1B9A" w:rsidRPr="007072FB" w:rsidRDefault="00000000">
      <w:pPr>
        <w:spacing w:before="120" w:after="120" w:line="360" w:lineRule="auto"/>
        <w:ind w:firstLine="454"/>
        <w:jc w:val="both"/>
        <w:rPr>
          <w:rFonts w:ascii="Verdana" w:eastAsia="华文细黑" w:hAnsi="Verdana" w:cs="Calibri"/>
          <w:lang w:val="en-GB"/>
        </w:rPr>
      </w:pPr>
      <w:r w:rsidRPr="007072FB">
        <w:rPr>
          <w:rFonts w:ascii="Verdana" w:eastAsia="华文细黑" w:hAnsi="Verdana" w:cs="Calibri"/>
          <w:lang w:val="en-GB"/>
        </w:rPr>
        <w:t>2021</w:t>
      </w:r>
      <w:r w:rsidRPr="007072FB">
        <w:rPr>
          <w:rFonts w:ascii="Verdana" w:eastAsia="华文细黑" w:hAnsi="Verdana" w:cs="Calibri"/>
          <w:lang w:val="en-GB"/>
        </w:rPr>
        <w:t>年全市地区生产总值（</w:t>
      </w:r>
      <w:r w:rsidRPr="007072FB">
        <w:rPr>
          <w:rFonts w:ascii="Verdana" w:eastAsia="华文细黑" w:hAnsi="Verdana" w:cs="Calibri"/>
          <w:lang w:val="en-GB"/>
        </w:rPr>
        <w:t>GDP</w:t>
      </w:r>
      <w:r w:rsidRPr="007072FB">
        <w:rPr>
          <w:rFonts w:ascii="Verdana" w:eastAsia="华文细黑" w:hAnsi="Verdana" w:cs="Calibri"/>
          <w:lang w:val="en-GB"/>
        </w:rPr>
        <w:t>）</w:t>
      </w:r>
      <w:r w:rsidRPr="007072FB">
        <w:rPr>
          <w:rFonts w:ascii="Verdana" w:eastAsia="华文细黑" w:hAnsi="Verdana" w:cs="Calibri"/>
          <w:lang w:val="en-GB"/>
        </w:rPr>
        <w:t>835.37</w:t>
      </w:r>
      <w:r w:rsidRPr="007072FB">
        <w:rPr>
          <w:rFonts w:ascii="Verdana" w:eastAsia="华文细黑" w:hAnsi="Verdana" w:cs="Calibri"/>
          <w:lang w:val="en-GB"/>
        </w:rPr>
        <w:t>亿元，按可比价格计算，比上年增长</w:t>
      </w:r>
      <w:r w:rsidRPr="007072FB">
        <w:rPr>
          <w:rFonts w:ascii="Verdana" w:eastAsia="华文细黑" w:hAnsi="Verdana" w:cs="Calibri"/>
          <w:lang w:val="en-GB"/>
        </w:rPr>
        <w:t>12.1%</w:t>
      </w:r>
      <w:r w:rsidRPr="007072FB">
        <w:rPr>
          <w:rFonts w:ascii="Verdana" w:eastAsia="华文细黑" w:hAnsi="Verdana" w:cs="Calibri"/>
          <w:lang w:val="en-GB"/>
        </w:rPr>
        <w:t>。其中，第一产业增加值</w:t>
      </w:r>
      <w:r w:rsidRPr="007072FB">
        <w:rPr>
          <w:rFonts w:ascii="Verdana" w:eastAsia="华文细黑" w:hAnsi="Verdana" w:cs="Calibri"/>
          <w:lang w:val="en-GB"/>
        </w:rPr>
        <w:t>93.79</w:t>
      </w:r>
      <w:r w:rsidRPr="007072FB">
        <w:rPr>
          <w:rFonts w:ascii="Verdana" w:eastAsia="华文细黑" w:hAnsi="Verdana" w:cs="Calibri"/>
          <w:lang w:val="en-GB"/>
        </w:rPr>
        <w:t>亿元，增长</w:t>
      </w:r>
      <w:r w:rsidRPr="007072FB">
        <w:rPr>
          <w:rFonts w:ascii="Verdana" w:eastAsia="华文细黑" w:hAnsi="Verdana" w:cs="Calibri"/>
          <w:lang w:val="en-GB"/>
        </w:rPr>
        <w:t>3.8%</w:t>
      </w:r>
      <w:r w:rsidRPr="007072FB">
        <w:rPr>
          <w:rFonts w:ascii="Verdana" w:eastAsia="华文细黑" w:hAnsi="Verdana" w:cs="Calibri"/>
          <w:lang w:val="en-GB"/>
        </w:rPr>
        <w:t>；第二产业增加值</w:t>
      </w:r>
      <w:r w:rsidRPr="007072FB">
        <w:rPr>
          <w:rFonts w:ascii="Verdana" w:eastAsia="华文细黑" w:hAnsi="Verdana" w:cs="Calibri"/>
          <w:lang w:val="en-GB"/>
        </w:rPr>
        <w:t>124.72</w:t>
      </w:r>
      <w:r w:rsidRPr="007072FB">
        <w:rPr>
          <w:rFonts w:ascii="Verdana" w:eastAsia="华文细黑" w:hAnsi="Verdana" w:cs="Calibri"/>
          <w:lang w:val="en-GB"/>
        </w:rPr>
        <w:t>亿元，增长</w:t>
      </w:r>
      <w:r w:rsidRPr="007072FB">
        <w:rPr>
          <w:rFonts w:ascii="Verdana" w:eastAsia="华文细黑" w:hAnsi="Verdana" w:cs="Calibri"/>
          <w:lang w:val="en-GB"/>
        </w:rPr>
        <w:t>0.1%</w:t>
      </w:r>
      <w:r w:rsidRPr="007072FB">
        <w:rPr>
          <w:rFonts w:ascii="Verdana" w:eastAsia="华文细黑" w:hAnsi="Verdana" w:cs="Calibri"/>
          <w:lang w:val="en-GB"/>
        </w:rPr>
        <w:t>；第三产业增加值</w:t>
      </w:r>
      <w:r w:rsidRPr="007072FB">
        <w:rPr>
          <w:rFonts w:ascii="Verdana" w:eastAsia="华文细黑" w:hAnsi="Verdana" w:cs="Calibri"/>
          <w:lang w:val="en-GB"/>
        </w:rPr>
        <w:t>616.86</w:t>
      </w:r>
      <w:r w:rsidRPr="007072FB">
        <w:rPr>
          <w:rFonts w:ascii="Verdana" w:eastAsia="华文细黑" w:hAnsi="Verdana" w:cs="Calibri"/>
          <w:lang w:val="en-GB"/>
        </w:rPr>
        <w:t>亿元，增长</w:t>
      </w:r>
      <w:r w:rsidRPr="007072FB">
        <w:rPr>
          <w:rFonts w:ascii="Verdana" w:eastAsia="华文细黑" w:hAnsi="Verdana" w:cs="Calibri"/>
          <w:lang w:val="en-GB"/>
        </w:rPr>
        <w:t>16.1%</w:t>
      </w:r>
      <w:r w:rsidRPr="007072FB">
        <w:rPr>
          <w:rFonts w:ascii="Verdana" w:eastAsia="华文细黑" w:hAnsi="Verdana" w:cs="Calibri"/>
          <w:lang w:val="en-GB"/>
        </w:rPr>
        <w:t>。三次产业结构调整为</w:t>
      </w:r>
      <w:r w:rsidRPr="007072FB">
        <w:rPr>
          <w:rFonts w:ascii="Verdana" w:eastAsia="华文细黑" w:hAnsi="Verdana" w:cs="Calibri"/>
          <w:lang w:val="en-GB"/>
        </w:rPr>
        <w:t>11.2:14.9:73.9</w:t>
      </w:r>
      <w:r w:rsidRPr="007072FB">
        <w:rPr>
          <w:rFonts w:ascii="Verdana" w:eastAsia="华文细黑" w:hAnsi="Verdana" w:cs="Calibri"/>
          <w:lang w:val="en-GB"/>
        </w:rPr>
        <w:t>。</w:t>
      </w:r>
    </w:p>
    <w:p w14:paraId="493100D2" w14:textId="523505CC" w:rsidR="000D1B9A" w:rsidRPr="007072FB" w:rsidRDefault="00000000">
      <w:pPr>
        <w:spacing w:before="120" w:after="120" w:line="360" w:lineRule="auto"/>
        <w:ind w:firstLine="454"/>
        <w:jc w:val="both"/>
        <w:rPr>
          <w:rFonts w:ascii="Verdana" w:eastAsia="华文细黑" w:hAnsi="Verdana" w:cs="Calibri"/>
          <w:lang w:val="en-GB"/>
        </w:rPr>
      </w:pPr>
      <w:r w:rsidRPr="007072FB">
        <w:rPr>
          <w:rFonts w:ascii="Verdana" w:eastAsia="华文细黑" w:hAnsi="Verdana" w:cs="Calibri"/>
          <w:lang w:val="en-GB"/>
        </w:rPr>
        <w:t>2022</w:t>
      </w:r>
      <w:r w:rsidRPr="007072FB">
        <w:rPr>
          <w:rFonts w:ascii="Verdana" w:eastAsia="华文细黑" w:hAnsi="Verdana" w:cs="Calibri"/>
          <w:lang w:val="en-GB"/>
        </w:rPr>
        <w:t>年全市地区生产总值（</w:t>
      </w:r>
      <w:r w:rsidRPr="007072FB">
        <w:rPr>
          <w:rFonts w:ascii="Verdana" w:eastAsia="华文细黑" w:hAnsi="Verdana" w:cs="Calibri"/>
          <w:lang w:val="en-GB"/>
        </w:rPr>
        <w:t>GDP</w:t>
      </w:r>
      <w:r w:rsidRPr="007072FB">
        <w:rPr>
          <w:rFonts w:ascii="Verdana" w:eastAsia="华文细黑" w:hAnsi="Verdana" w:cs="Calibri"/>
          <w:lang w:val="en-GB"/>
        </w:rPr>
        <w:t>）</w:t>
      </w:r>
      <w:r w:rsidRPr="007072FB">
        <w:rPr>
          <w:rFonts w:ascii="Verdana" w:eastAsia="华文细黑" w:hAnsi="Verdana" w:cs="Calibri"/>
          <w:lang w:val="en-GB"/>
        </w:rPr>
        <w:t>847.11</w:t>
      </w:r>
      <w:r w:rsidRPr="007072FB">
        <w:rPr>
          <w:rFonts w:ascii="Verdana" w:eastAsia="华文细黑" w:hAnsi="Verdana" w:cs="Calibri"/>
          <w:lang w:val="en-GB"/>
        </w:rPr>
        <w:t>亿元，按不变价计算，同比下降</w:t>
      </w:r>
      <w:r w:rsidRPr="007072FB">
        <w:rPr>
          <w:rFonts w:ascii="Verdana" w:eastAsia="华文细黑" w:hAnsi="Verdana" w:cs="Calibri"/>
          <w:lang w:val="en-GB"/>
        </w:rPr>
        <w:t>4.5%</w:t>
      </w:r>
      <w:r w:rsidRPr="007072FB">
        <w:rPr>
          <w:rFonts w:ascii="Verdana" w:eastAsia="华文细黑" w:hAnsi="Verdana" w:cs="Calibri"/>
          <w:lang w:val="en-GB"/>
        </w:rPr>
        <w:t>，占全省地区生产总值的比重为</w:t>
      </w:r>
      <w:r w:rsidRPr="007072FB">
        <w:rPr>
          <w:rFonts w:ascii="Verdana" w:eastAsia="华文细黑" w:hAnsi="Verdana" w:cs="Calibri"/>
          <w:lang w:val="en-GB"/>
        </w:rPr>
        <w:t>12.4%</w:t>
      </w:r>
      <w:r w:rsidRPr="007072FB">
        <w:rPr>
          <w:rFonts w:ascii="Verdana" w:eastAsia="华文细黑" w:hAnsi="Verdana" w:cs="Calibri"/>
          <w:lang w:val="en-GB"/>
        </w:rPr>
        <w:t>。其中，第一产业增加值</w:t>
      </w:r>
      <w:r w:rsidRPr="007072FB">
        <w:rPr>
          <w:rFonts w:ascii="Verdana" w:eastAsia="华文细黑" w:hAnsi="Verdana" w:cs="Calibri"/>
          <w:lang w:val="en-GB"/>
        </w:rPr>
        <w:t>110.33</w:t>
      </w:r>
      <w:r w:rsidRPr="007072FB">
        <w:rPr>
          <w:rFonts w:ascii="Verdana" w:eastAsia="华文细黑" w:hAnsi="Verdana" w:cs="Calibri"/>
          <w:lang w:val="en-GB"/>
        </w:rPr>
        <w:t>亿元，同比增长</w:t>
      </w:r>
      <w:r w:rsidRPr="007072FB">
        <w:rPr>
          <w:rFonts w:ascii="Verdana" w:eastAsia="华文细黑" w:hAnsi="Verdana" w:cs="Calibri"/>
          <w:lang w:val="en-GB"/>
        </w:rPr>
        <w:t>1.1%</w:t>
      </w:r>
      <w:r w:rsidRPr="007072FB">
        <w:rPr>
          <w:rFonts w:ascii="Verdana" w:eastAsia="华文细黑" w:hAnsi="Verdana" w:cs="Calibri"/>
          <w:lang w:val="en-GB"/>
        </w:rPr>
        <w:t>；第二产业增加值</w:t>
      </w:r>
      <w:r w:rsidRPr="007072FB">
        <w:rPr>
          <w:rFonts w:ascii="Verdana" w:eastAsia="华文细黑" w:hAnsi="Verdana" w:cs="Calibri"/>
          <w:lang w:val="en-GB"/>
        </w:rPr>
        <w:t>114.77</w:t>
      </w:r>
      <w:r w:rsidRPr="007072FB">
        <w:rPr>
          <w:rFonts w:ascii="Verdana" w:eastAsia="华文细黑" w:hAnsi="Verdana" w:cs="Calibri"/>
          <w:lang w:val="en-GB"/>
        </w:rPr>
        <w:t>亿元，同比下降</w:t>
      </w:r>
      <w:r w:rsidRPr="007072FB">
        <w:rPr>
          <w:rFonts w:ascii="Verdana" w:eastAsia="华文细黑" w:hAnsi="Verdana" w:cs="Calibri"/>
          <w:lang w:val="en-GB"/>
        </w:rPr>
        <w:t>10.0%</w:t>
      </w:r>
      <w:r w:rsidRPr="007072FB">
        <w:rPr>
          <w:rFonts w:ascii="Verdana" w:eastAsia="华文细黑" w:hAnsi="Verdana" w:cs="Calibri"/>
          <w:lang w:val="en-GB"/>
        </w:rPr>
        <w:t>；第三产业增加值</w:t>
      </w:r>
      <w:r w:rsidRPr="007072FB">
        <w:rPr>
          <w:rFonts w:ascii="Verdana" w:eastAsia="华文细黑" w:hAnsi="Verdana" w:cs="Calibri"/>
          <w:lang w:val="en-GB"/>
        </w:rPr>
        <w:t>622.01</w:t>
      </w:r>
      <w:r w:rsidRPr="007072FB">
        <w:rPr>
          <w:rFonts w:ascii="Verdana" w:eastAsia="华文细黑" w:hAnsi="Verdana" w:cs="Calibri"/>
          <w:lang w:val="en-GB"/>
        </w:rPr>
        <w:t>亿元，同比下降</w:t>
      </w:r>
      <w:r w:rsidRPr="007072FB">
        <w:rPr>
          <w:rFonts w:ascii="Verdana" w:eastAsia="华文细黑" w:hAnsi="Verdana" w:cs="Calibri"/>
          <w:lang w:val="en-GB"/>
        </w:rPr>
        <w:t>4.2%</w:t>
      </w:r>
      <w:r w:rsidRPr="007072FB">
        <w:rPr>
          <w:rFonts w:ascii="Verdana" w:eastAsia="华文细黑" w:hAnsi="Verdana" w:cs="Calibri"/>
          <w:lang w:val="en-GB"/>
        </w:rPr>
        <w:t>。三次产业结构调整为</w:t>
      </w:r>
      <w:r w:rsidRPr="007072FB">
        <w:rPr>
          <w:rFonts w:ascii="Verdana" w:eastAsia="华文细黑" w:hAnsi="Verdana" w:cs="Calibri"/>
          <w:lang w:val="en-GB"/>
        </w:rPr>
        <w:t>13.0:13.6:73.4</w:t>
      </w:r>
      <w:r w:rsidRPr="007072FB">
        <w:rPr>
          <w:rFonts w:ascii="Verdana" w:eastAsia="华文细黑" w:hAnsi="Verdana" w:cs="Calibri"/>
          <w:lang w:val="en-GB"/>
        </w:rPr>
        <w:t>。</w:t>
      </w:r>
    </w:p>
    <w:p w14:paraId="572C4989" w14:textId="34356828" w:rsidR="00F43EC7" w:rsidRPr="007072FB" w:rsidRDefault="00F43EC7">
      <w:pPr>
        <w:spacing w:before="120" w:after="120" w:line="360" w:lineRule="auto"/>
        <w:ind w:firstLine="454"/>
        <w:jc w:val="both"/>
        <w:rPr>
          <w:rFonts w:ascii="Verdana" w:eastAsia="华文细黑" w:hAnsi="Verdana" w:cs="Calibri"/>
          <w:lang w:val="en-GB"/>
        </w:rPr>
      </w:pPr>
      <w:r w:rsidRPr="007072FB">
        <w:rPr>
          <w:rFonts w:ascii="Verdana" w:eastAsia="华文细黑" w:hAnsi="Verdana" w:cs="Calibri"/>
          <w:lang w:val="en-GB"/>
        </w:rPr>
        <w:t>2023</w:t>
      </w:r>
      <w:r w:rsidRPr="007072FB">
        <w:rPr>
          <w:rFonts w:ascii="Verdana" w:eastAsia="华文细黑" w:hAnsi="Verdana" w:cs="Calibri"/>
          <w:lang w:val="en-GB"/>
        </w:rPr>
        <w:t>年全市地区生产总值</w:t>
      </w:r>
      <w:r w:rsidRPr="007072FB">
        <w:rPr>
          <w:rFonts w:ascii="Verdana" w:eastAsia="华文细黑" w:hAnsi="Verdana" w:cs="Calibri"/>
          <w:lang w:val="en-GB"/>
        </w:rPr>
        <w:t>(GDP)971.34</w:t>
      </w:r>
      <w:r w:rsidRPr="007072FB">
        <w:rPr>
          <w:rFonts w:ascii="Verdana" w:eastAsia="华文细黑" w:hAnsi="Verdana" w:cs="Calibri"/>
          <w:lang w:val="en-GB"/>
        </w:rPr>
        <w:t>亿元，按不变价格计算，同比增长</w:t>
      </w:r>
      <w:r w:rsidRPr="007072FB">
        <w:rPr>
          <w:rFonts w:ascii="Verdana" w:eastAsia="华文细黑" w:hAnsi="Verdana" w:cs="Calibri"/>
          <w:lang w:val="en-GB"/>
        </w:rPr>
        <w:t>12.0%</w:t>
      </w:r>
      <w:r w:rsidRPr="007072FB">
        <w:rPr>
          <w:rFonts w:ascii="Verdana" w:eastAsia="华文细黑" w:hAnsi="Verdana" w:cs="Calibri"/>
          <w:lang w:val="en-GB"/>
        </w:rPr>
        <w:t>，增速位于全省各市县第一，快于全省</w:t>
      </w:r>
      <w:r w:rsidRPr="007072FB">
        <w:rPr>
          <w:rFonts w:ascii="Verdana" w:eastAsia="华文细黑" w:hAnsi="Verdana" w:cs="Calibri"/>
          <w:lang w:val="en-GB"/>
        </w:rPr>
        <w:t>2.8</w:t>
      </w:r>
      <w:r w:rsidRPr="007072FB">
        <w:rPr>
          <w:rFonts w:ascii="Verdana" w:eastAsia="华文细黑" w:hAnsi="Verdana" w:cs="Calibri"/>
          <w:lang w:val="en-GB"/>
        </w:rPr>
        <w:t>个百分点。其中，第一产业增加值</w:t>
      </w:r>
      <w:r w:rsidRPr="007072FB">
        <w:rPr>
          <w:rFonts w:ascii="Verdana" w:eastAsia="华文细黑" w:hAnsi="Verdana" w:cs="Calibri"/>
          <w:lang w:val="en-GB"/>
        </w:rPr>
        <w:t>110.89</w:t>
      </w:r>
      <w:r w:rsidRPr="007072FB">
        <w:rPr>
          <w:rFonts w:ascii="Verdana" w:eastAsia="华文细黑" w:hAnsi="Verdana" w:cs="Calibri"/>
          <w:lang w:val="en-GB"/>
        </w:rPr>
        <w:t>亿元，同比增长</w:t>
      </w:r>
      <w:r w:rsidRPr="007072FB">
        <w:rPr>
          <w:rFonts w:ascii="Verdana" w:eastAsia="华文细黑" w:hAnsi="Verdana" w:cs="Calibri"/>
          <w:lang w:val="en-GB"/>
        </w:rPr>
        <w:t>3.5%</w:t>
      </w:r>
      <w:r w:rsidRPr="007072FB">
        <w:rPr>
          <w:rFonts w:ascii="Verdana" w:eastAsia="华文细黑" w:hAnsi="Verdana" w:cs="Calibri"/>
          <w:lang w:val="en-GB"/>
        </w:rPr>
        <w:t>；第二产业增加值</w:t>
      </w:r>
      <w:r w:rsidRPr="007072FB">
        <w:rPr>
          <w:rFonts w:ascii="Verdana" w:eastAsia="华文细黑" w:hAnsi="Verdana" w:cs="Calibri"/>
          <w:lang w:val="en-GB"/>
        </w:rPr>
        <w:t>132.64</w:t>
      </w:r>
      <w:r w:rsidRPr="007072FB">
        <w:rPr>
          <w:rFonts w:ascii="Verdana" w:eastAsia="华文细黑" w:hAnsi="Verdana" w:cs="Calibri"/>
          <w:lang w:val="en-GB"/>
        </w:rPr>
        <w:t>亿元，同比增长</w:t>
      </w:r>
      <w:r w:rsidRPr="007072FB">
        <w:rPr>
          <w:rFonts w:ascii="Verdana" w:eastAsia="华文细黑" w:hAnsi="Verdana" w:cs="Calibri"/>
          <w:lang w:val="en-GB"/>
        </w:rPr>
        <w:lastRenderedPageBreak/>
        <w:t>13.0%</w:t>
      </w:r>
      <w:r w:rsidRPr="007072FB">
        <w:rPr>
          <w:rFonts w:ascii="Verdana" w:eastAsia="华文细黑" w:hAnsi="Verdana" w:cs="Calibri"/>
          <w:lang w:val="en-GB"/>
        </w:rPr>
        <w:t>；第三产业增加值</w:t>
      </w:r>
      <w:r w:rsidRPr="007072FB">
        <w:rPr>
          <w:rFonts w:ascii="Verdana" w:eastAsia="华文细黑" w:hAnsi="Verdana" w:cs="Calibri"/>
          <w:lang w:val="en-GB"/>
        </w:rPr>
        <w:t>727.81</w:t>
      </w:r>
      <w:r w:rsidRPr="007072FB">
        <w:rPr>
          <w:rFonts w:ascii="Verdana" w:eastAsia="华文细黑" w:hAnsi="Verdana" w:cs="Calibri"/>
          <w:lang w:val="en-GB"/>
        </w:rPr>
        <w:t>亿元，同比增长</w:t>
      </w:r>
      <w:r w:rsidRPr="007072FB">
        <w:rPr>
          <w:rFonts w:ascii="Verdana" w:eastAsia="华文细黑" w:hAnsi="Verdana" w:cs="Calibri"/>
          <w:lang w:val="en-GB"/>
        </w:rPr>
        <w:t>13.0%</w:t>
      </w:r>
      <w:r w:rsidRPr="007072FB">
        <w:rPr>
          <w:rFonts w:ascii="Verdana" w:eastAsia="华文细黑" w:hAnsi="Verdana" w:cs="Calibri"/>
          <w:lang w:val="en-GB"/>
        </w:rPr>
        <w:t>。分季度看，一季度全市地区生产总值同比增长</w:t>
      </w:r>
      <w:r w:rsidRPr="007072FB">
        <w:rPr>
          <w:rFonts w:ascii="Verdana" w:eastAsia="华文细黑" w:hAnsi="Verdana" w:cs="Calibri"/>
          <w:lang w:val="en-GB"/>
        </w:rPr>
        <w:t>7.5%</w:t>
      </w:r>
      <w:r w:rsidRPr="007072FB">
        <w:rPr>
          <w:rFonts w:ascii="Verdana" w:eastAsia="华文细黑" w:hAnsi="Verdana" w:cs="Calibri"/>
          <w:lang w:val="en-GB"/>
        </w:rPr>
        <w:t>，上半年同比增长</w:t>
      </w:r>
      <w:r w:rsidRPr="007072FB">
        <w:rPr>
          <w:rFonts w:ascii="Verdana" w:eastAsia="华文细黑" w:hAnsi="Verdana" w:cs="Calibri"/>
          <w:lang w:val="en-GB"/>
        </w:rPr>
        <w:t>10.3%</w:t>
      </w:r>
      <w:r w:rsidRPr="007072FB">
        <w:rPr>
          <w:rFonts w:ascii="Verdana" w:eastAsia="华文细黑" w:hAnsi="Verdana" w:cs="Calibri"/>
          <w:lang w:val="en-GB"/>
        </w:rPr>
        <w:t>，前三季度同比增长</w:t>
      </w:r>
      <w:r w:rsidRPr="007072FB">
        <w:rPr>
          <w:rFonts w:ascii="Verdana" w:eastAsia="华文细黑" w:hAnsi="Verdana" w:cs="Calibri"/>
          <w:lang w:val="en-GB"/>
        </w:rPr>
        <w:t>12.5%</w:t>
      </w:r>
      <w:r w:rsidRPr="007072FB">
        <w:rPr>
          <w:rFonts w:ascii="Verdana" w:eastAsia="华文细黑" w:hAnsi="Verdana" w:cs="Calibri"/>
          <w:lang w:val="en-GB"/>
        </w:rPr>
        <w:t>，全年同比增长</w:t>
      </w:r>
      <w:r w:rsidRPr="007072FB">
        <w:rPr>
          <w:rFonts w:ascii="Verdana" w:eastAsia="华文细黑" w:hAnsi="Verdana" w:cs="Calibri"/>
          <w:lang w:val="en-GB"/>
        </w:rPr>
        <w:t>12.0%</w:t>
      </w:r>
      <w:r w:rsidRPr="007072FB">
        <w:rPr>
          <w:rFonts w:ascii="Verdana" w:eastAsia="华文细黑" w:hAnsi="Verdana" w:cs="Calibri"/>
          <w:lang w:val="en-GB"/>
        </w:rPr>
        <w:t>。</w:t>
      </w:r>
    </w:p>
    <w:p w14:paraId="77F955CC" w14:textId="77777777" w:rsidR="000D1B9A" w:rsidRPr="007072FB" w:rsidRDefault="00000000">
      <w:pPr>
        <w:spacing w:before="120" w:after="120" w:line="360" w:lineRule="auto"/>
        <w:outlineLvl w:val="0"/>
        <w:rPr>
          <w:rFonts w:ascii="Verdana" w:eastAsia="华文细黑" w:hAnsi="Verdana" w:cs="Calibri"/>
          <w:b/>
          <w:sz w:val="28"/>
        </w:rPr>
      </w:pPr>
      <w:bookmarkStart w:id="15" w:name="_Toc28675797"/>
      <w:bookmarkStart w:id="16" w:name="_Toc135044139"/>
      <w:bookmarkStart w:id="17" w:name="_Toc38921587"/>
      <w:bookmarkStart w:id="18" w:name="_Toc38898998"/>
      <w:bookmarkStart w:id="19" w:name="_Toc39093418"/>
      <w:r w:rsidRPr="007072FB">
        <w:rPr>
          <w:rFonts w:ascii="Verdana" w:eastAsia="华文细黑" w:hAnsi="Verdana" w:cs="Calibri"/>
          <w:b/>
          <w:sz w:val="28"/>
        </w:rPr>
        <w:t>2</w:t>
      </w:r>
      <w:r w:rsidRPr="007072FB">
        <w:rPr>
          <w:rFonts w:ascii="Verdana" w:eastAsia="华文细黑" w:hAnsi="Verdana" w:cs="Calibri"/>
          <w:b/>
          <w:sz w:val="28"/>
        </w:rPr>
        <w:t>．地区人均年收入</w:t>
      </w:r>
      <w:bookmarkEnd w:id="12"/>
      <w:bookmarkEnd w:id="13"/>
      <w:bookmarkEnd w:id="14"/>
      <w:bookmarkEnd w:id="15"/>
      <w:bookmarkEnd w:id="16"/>
      <w:bookmarkEnd w:id="17"/>
      <w:bookmarkEnd w:id="18"/>
      <w:bookmarkEnd w:id="19"/>
    </w:p>
    <w:p w14:paraId="2151AA81" w14:textId="77777777" w:rsidR="000D1B9A" w:rsidRPr="007072FB" w:rsidRDefault="00000000">
      <w:pPr>
        <w:spacing w:before="120" w:after="120" w:line="360" w:lineRule="auto"/>
        <w:ind w:firstLine="454"/>
        <w:jc w:val="both"/>
        <w:rPr>
          <w:rFonts w:ascii="Verdana" w:eastAsia="华文细黑" w:hAnsi="Verdana" w:cs="Calibri"/>
          <w:lang w:val="en-GB"/>
        </w:rPr>
      </w:pPr>
      <w:bookmarkStart w:id="20" w:name="_Toc25162475"/>
      <w:bookmarkStart w:id="21" w:name="_Toc4762885"/>
      <w:bookmarkStart w:id="22" w:name="_Toc4763011"/>
      <w:r w:rsidRPr="007072FB">
        <w:rPr>
          <w:rFonts w:ascii="Verdana" w:eastAsia="华文细黑" w:hAnsi="Verdana" w:cs="Calibri"/>
          <w:lang w:val="en-GB"/>
        </w:rPr>
        <w:t>2020</w:t>
      </w:r>
      <w:r w:rsidRPr="007072FB">
        <w:rPr>
          <w:rFonts w:ascii="Verdana" w:eastAsia="华文细黑" w:hAnsi="Verdana" w:cs="Calibri"/>
          <w:lang w:val="en-GB"/>
        </w:rPr>
        <w:t>年，三亚市全年城乡居民人均可支配收入</w:t>
      </w:r>
      <w:r w:rsidRPr="007072FB">
        <w:rPr>
          <w:rFonts w:ascii="Verdana" w:eastAsia="华文细黑" w:hAnsi="Verdana" w:cs="Calibri"/>
          <w:lang w:val="en-GB"/>
        </w:rPr>
        <w:t>34,642</w:t>
      </w:r>
      <w:r w:rsidRPr="007072FB">
        <w:rPr>
          <w:rFonts w:ascii="Verdana" w:eastAsia="华文细黑" w:hAnsi="Verdana" w:cs="Calibri"/>
          <w:lang w:val="en-GB"/>
        </w:rPr>
        <w:t>元，比上年增长</w:t>
      </w:r>
      <w:r w:rsidRPr="007072FB">
        <w:rPr>
          <w:rFonts w:ascii="Verdana" w:eastAsia="华文细黑" w:hAnsi="Verdana" w:cs="Calibri"/>
          <w:lang w:val="en-GB"/>
        </w:rPr>
        <w:t>4.6%</w:t>
      </w:r>
      <w:r w:rsidRPr="007072FB">
        <w:rPr>
          <w:rFonts w:ascii="Verdana" w:eastAsia="华文细黑" w:hAnsi="Verdana" w:cs="Calibri"/>
          <w:lang w:val="en-GB"/>
        </w:rPr>
        <w:t>。从收入来源看，工资性收入</w:t>
      </w:r>
      <w:r w:rsidRPr="007072FB">
        <w:rPr>
          <w:rFonts w:ascii="Verdana" w:eastAsia="华文细黑" w:hAnsi="Verdana" w:cs="Calibri"/>
          <w:lang w:val="en-GB"/>
        </w:rPr>
        <w:t>20,596</w:t>
      </w:r>
      <w:r w:rsidRPr="007072FB">
        <w:rPr>
          <w:rFonts w:ascii="Verdana" w:eastAsia="华文细黑" w:hAnsi="Verdana" w:cs="Calibri"/>
          <w:lang w:val="en-GB"/>
        </w:rPr>
        <w:t>元，增长</w:t>
      </w:r>
      <w:r w:rsidRPr="007072FB">
        <w:rPr>
          <w:rFonts w:ascii="Verdana" w:eastAsia="华文细黑" w:hAnsi="Verdana" w:cs="Calibri"/>
          <w:lang w:val="en-GB"/>
        </w:rPr>
        <w:t>5.0%</w:t>
      </w:r>
      <w:r w:rsidRPr="007072FB">
        <w:rPr>
          <w:rFonts w:ascii="Verdana" w:eastAsia="华文细黑" w:hAnsi="Verdana" w:cs="Calibri"/>
          <w:lang w:val="en-GB"/>
        </w:rPr>
        <w:t>；经营净收入</w:t>
      </w:r>
      <w:r w:rsidRPr="007072FB">
        <w:rPr>
          <w:rFonts w:ascii="Verdana" w:eastAsia="华文细黑" w:hAnsi="Verdana" w:cs="Calibri"/>
          <w:lang w:val="en-GB"/>
        </w:rPr>
        <w:t>5,664</w:t>
      </w:r>
      <w:r w:rsidRPr="007072FB">
        <w:rPr>
          <w:rFonts w:ascii="Verdana" w:eastAsia="华文细黑" w:hAnsi="Verdana" w:cs="Calibri"/>
          <w:lang w:val="en-GB"/>
        </w:rPr>
        <w:t>元，下降</w:t>
      </w:r>
      <w:r w:rsidRPr="007072FB">
        <w:rPr>
          <w:rFonts w:ascii="Verdana" w:eastAsia="华文细黑" w:hAnsi="Verdana" w:cs="Calibri"/>
          <w:lang w:val="en-GB"/>
        </w:rPr>
        <w:t>6.3%</w:t>
      </w:r>
      <w:r w:rsidRPr="007072FB">
        <w:rPr>
          <w:rFonts w:ascii="Verdana" w:eastAsia="华文细黑" w:hAnsi="Verdana" w:cs="Calibri"/>
          <w:lang w:val="en-GB"/>
        </w:rPr>
        <w:t>；财产净收入</w:t>
      </w:r>
      <w:r w:rsidRPr="007072FB">
        <w:rPr>
          <w:rFonts w:ascii="Verdana" w:eastAsia="华文细黑" w:hAnsi="Verdana" w:cs="Calibri"/>
          <w:lang w:val="en-GB"/>
        </w:rPr>
        <w:t>4,022</w:t>
      </w:r>
      <w:r w:rsidRPr="007072FB">
        <w:rPr>
          <w:rFonts w:ascii="Verdana" w:eastAsia="华文细黑" w:hAnsi="Verdana" w:cs="Calibri"/>
          <w:lang w:val="en-GB"/>
        </w:rPr>
        <w:t>元，增长</w:t>
      </w:r>
      <w:r w:rsidRPr="007072FB">
        <w:rPr>
          <w:rFonts w:ascii="Verdana" w:eastAsia="华文细黑" w:hAnsi="Verdana" w:cs="Calibri"/>
          <w:lang w:val="en-GB"/>
        </w:rPr>
        <w:t>10.0%</w:t>
      </w:r>
      <w:r w:rsidRPr="007072FB">
        <w:rPr>
          <w:rFonts w:ascii="Verdana" w:eastAsia="华文细黑" w:hAnsi="Verdana" w:cs="Calibri"/>
          <w:lang w:val="en-GB"/>
        </w:rPr>
        <w:t>；转移净收入</w:t>
      </w:r>
      <w:r w:rsidRPr="007072FB">
        <w:rPr>
          <w:rFonts w:ascii="Verdana" w:eastAsia="华文细黑" w:hAnsi="Verdana" w:cs="Calibri"/>
          <w:lang w:val="en-GB"/>
        </w:rPr>
        <w:t>4,361</w:t>
      </w:r>
      <w:r w:rsidRPr="007072FB">
        <w:rPr>
          <w:rFonts w:ascii="Verdana" w:eastAsia="华文细黑" w:hAnsi="Verdana" w:cs="Calibri"/>
          <w:lang w:val="en-GB"/>
        </w:rPr>
        <w:t>元，增长</w:t>
      </w:r>
      <w:r w:rsidRPr="007072FB">
        <w:rPr>
          <w:rFonts w:ascii="Verdana" w:eastAsia="华文细黑" w:hAnsi="Verdana" w:cs="Calibri"/>
          <w:lang w:val="en-GB"/>
        </w:rPr>
        <w:t>14.3%</w:t>
      </w:r>
      <w:r w:rsidRPr="007072FB">
        <w:rPr>
          <w:rFonts w:ascii="Verdana" w:eastAsia="华文细黑" w:hAnsi="Verdana" w:cs="Calibri"/>
          <w:lang w:val="en-GB"/>
        </w:rPr>
        <w:t>。按常住地分，城镇常住居民人均可支配收入</w:t>
      </w:r>
      <w:r w:rsidRPr="007072FB">
        <w:rPr>
          <w:rFonts w:ascii="Verdana" w:eastAsia="华文细黑" w:hAnsi="Verdana" w:cs="Calibri"/>
          <w:lang w:val="en-GB"/>
        </w:rPr>
        <w:t>40,547</w:t>
      </w:r>
      <w:r w:rsidRPr="007072FB">
        <w:rPr>
          <w:rFonts w:ascii="Verdana" w:eastAsia="华文细黑" w:hAnsi="Verdana" w:cs="Calibri"/>
          <w:lang w:val="en-GB"/>
        </w:rPr>
        <w:t>元，增长</w:t>
      </w:r>
      <w:r w:rsidRPr="007072FB">
        <w:rPr>
          <w:rFonts w:ascii="Verdana" w:eastAsia="华文细黑" w:hAnsi="Verdana" w:cs="Calibri"/>
          <w:lang w:val="en-GB"/>
        </w:rPr>
        <w:t>3.2%</w:t>
      </w:r>
      <w:r w:rsidRPr="007072FB">
        <w:rPr>
          <w:rFonts w:ascii="Verdana" w:eastAsia="华文细黑" w:hAnsi="Verdana" w:cs="Calibri"/>
          <w:lang w:val="en-GB"/>
        </w:rPr>
        <w:t>。其中，工资性收入</w:t>
      </w:r>
      <w:r w:rsidRPr="007072FB">
        <w:rPr>
          <w:rFonts w:ascii="Verdana" w:eastAsia="华文细黑" w:hAnsi="Verdana" w:cs="Calibri"/>
          <w:lang w:val="en-GB"/>
        </w:rPr>
        <w:t>25,285</w:t>
      </w:r>
      <w:r w:rsidRPr="007072FB">
        <w:rPr>
          <w:rFonts w:ascii="Verdana" w:eastAsia="华文细黑" w:hAnsi="Verdana" w:cs="Calibri"/>
          <w:lang w:val="en-GB"/>
        </w:rPr>
        <w:t>元，增长</w:t>
      </w:r>
      <w:r w:rsidRPr="007072FB">
        <w:rPr>
          <w:rFonts w:ascii="Verdana" w:eastAsia="华文细黑" w:hAnsi="Verdana" w:cs="Calibri"/>
          <w:lang w:val="en-GB"/>
        </w:rPr>
        <w:t>3.5%</w:t>
      </w:r>
      <w:r w:rsidRPr="007072FB">
        <w:rPr>
          <w:rFonts w:ascii="Verdana" w:eastAsia="华文细黑" w:hAnsi="Verdana" w:cs="Calibri"/>
          <w:lang w:val="en-GB"/>
        </w:rPr>
        <w:t>；经营净收入</w:t>
      </w:r>
      <w:r w:rsidRPr="007072FB">
        <w:rPr>
          <w:rFonts w:ascii="Verdana" w:eastAsia="华文细黑" w:hAnsi="Verdana" w:cs="Calibri"/>
          <w:lang w:val="en-GB"/>
        </w:rPr>
        <w:t>5,113</w:t>
      </w:r>
      <w:r w:rsidRPr="007072FB">
        <w:rPr>
          <w:rFonts w:ascii="Verdana" w:eastAsia="华文细黑" w:hAnsi="Verdana" w:cs="Calibri"/>
          <w:lang w:val="en-GB"/>
        </w:rPr>
        <w:t>元，下降</w:t>
      </w:r>
      <w:r w:rsidRPr="007072FB">
        <w:rPr>
          <w:rFonts w:ascii="Verdana" w:eastAsia="华文细黑" w:hAnsi="Verdana" w:cs="Calibri"/>
          <w:lang w:val="en-GB"/>
        </w:rPr>
        <w:t>10.9%</w:t>
      </w:r>
      <w:r w:rsidRPr="007072FB">
        <w:rPr>
          <w:rFonts w:ascii="Verdana" w:eastAsia="华文细黑" w:hAnsi="Verdana" w:cs="Calibri"/>
          <w:lang w:val="en-GB"/>
        </w:rPr>
        <w:t>；财产净收入</w:t>
      </w:r>
      <w:r w:rsidRPr="007072FB">
        <w:rPr>
          <w:rFonts w:ascii="Verdana" w:eastAsia="华文细黑" w:hAnsi="Verdana" w:cs="Calibri"/>
          <w:lang w:val="en-GB"/>
        </w:rPr>
        <w:t>5,017</w:t>
      </w:r>
      <w:r w:rsidRPr="007072FB">
        <w:rPr>
          <w:rFonts w:ascii="Verdana" w:eastAsia="华文细黑" w:hAnsi="Verdana" w:cs="Calibri"/>
          <w:lang w:val="en-GB"/>
        </w:rPr>
        <w:t>元，增长</w:t>
      </w:r>
      <w:r w:rsidRPr="007072FB">
        <w:rPr>
          <w:rFonts w:ascii="Verdana" w:eastAsia="华文细黑" w:hAnsi="Verdana" w:cs="Calibri"/>
          <w:lang w:val="en-GB"/>
        </w:rPr>
        <w:t>8.2%</w:t>
      </w:r>
      <w:r w:rsidRPr="007072FB">
        <w:rPr>
          <w:rFonts w:ascii="Verdana" w:eastAsia="华文细黑" w:hAnsi="Verdana" w:cs="Calibri"/>
          <w:lang w:val="en-GB"/>
        </w:rPr>
        <w:t>；转移净收入</w:t>
      </w:r>
      <w:r w:rsidRPr="007072FB">
        <w:rPr>
          <w:rFonts w:ascii="Verdana" w:eastAsia="华文细黑" w:hAnsi="Verdana" w:cs="Calibri"/>
          <w:lang w:val="en-GB"/>
        </w:rPr>
        <w:t>5,132</w:t>
      </w:r>
      <w:r w:rsidRPr="007072FB">
        <w:rPr>
          <w:rFonts w:ascii="Verdana" w:eastAsia="华文细黑" w:hAnsi="Verdana" w:cs="Calibri"/>
          <w:lang w:val="en-GB"/>
        </w:rPr>
        <w:t>元，增长</w:t>
      </w:r>
      <w:r w:rsidRPr="007072FB">
        <w:rPr>
          <w:rFonts w:ascii="Verdana" w:eastAsia="华文细黑" w:hAnsi="Verdana" w:cs="Calibri"/>
          <w:lang w:val="en-GB"/>
        </w:rPr>
        <w:t>13.9%</w:t>
      </w:r>
      <w:r w:rsidRPr="007072FB">
        <w:rPr>
          <w:rFonts w:ascii="Verdana" w:eastAsia="华文细黑" w:hAnsi="Verdana" w:cs="Calibri"/>
          <w:lang w:val="en-GB"/>
        </w:rPr>
        <w:t>。农村常住居民人均可支配收入</w:t>
      </w:r>
      <w:r w:rsidRPr="007072FB">
        <w:rPr>
          <w:rFonts w:ascii="Verdana" w:eastAsia="华文细黑" w:hAnsi="Verdana" w:cs="Calibri"/>
          <w:lang w:val="en-GB"/>
        </w:rPr>
        <w:t>18,389</w:t>
      </w:r>
      <w:r w:rsidRPr="007072FB">
        <w:rPr>
          <w:rFonts w:ascii="Verdana" w:eastAsia="华文细黑" w:hAnsi="Verdana" w:cs="Calibri"/>
          <w:lang w:val="en-GB"/>
        </w:rPr>
        <w:t>元，增长</w:t>
      </w:r>
      <w:r w:rsidRPr="007072FB">
        <w:rPr>
          <w:rFonts w:ascii="Verdana" w:eastAsia="华文细黑" w:hAnsi="Verdana" w:cs="Calibri"/>
          <w:lang w:val="en-GB"/>
        </w:rPr>
        <w:t>8.0%</w:t>
      </w:r>
      <w:r w:rsidRPr="007072FB">
        <w:rPr>
          <w:rFonts w:ascii="Verdana" w:eastAsia="华文细黑" w:hAnsi="Verdana" w:cs="Calibri"/>
          <w:lang w:val="en-GB"/>
        </w:rPr>
        <w:t>。其中，工资性收入</w:t>
      </w:r>
      <w:r w:rsidRPr="007072FB">
        <w:rPr>
          <w:rFonts w:ascii="Verdana" w:eastAsia="华文细黑" w:hAnsi="Verdana" w:cs="Calibri"/>
          <w:lang w:val="en-GB"/>
        </w:rPr>
        <w:t>7,689</w:t>
      </w:r>
      <w:r w:rsidRPr="007072FB">
        <w:rPr>
          <w:rFonts w:ascii="Verdana" w:eastAsia="华文细黑" w:hAnsi="Verdana" w:cs="Calibri"/>
          <w:lang w:val="en-GB"/>
        </w:rPr>
        <w:t>元，增长</w:t>
      </w:r>
      <w:r w:rsidRPr="007072FB">
        <w:rPr>
          <w:rFonts w:ascii="Verdana" w:eastAsia="华文细黑" w:hAnsi="Verdana" w:cs="Calibri"/>
          <w:lang w:val="en-GB"/>
        </w:rPr>
        <w:t>8.7%</w:t>
      </w:r>
      <w:r w:rsidRPr="007072FB">
        <w:rPr>
          <w:rFonts w:ascii="Verdana" w:eastAsia="华文细黑" w:hAnsi="Verdana" w:cs="Calibri"/>
          <w:lang w:val="en-GB"/>
        </w:rPr>
        <w:t>；经营净收入</w:t>
      </w:r>
      <w:r w:rsidRPr="007072FB">
        <w:rPr>
          <w:rFonts w:ascii="Verdana" w:eastAsia="华文细黑" w:hAnsi="Verdana" w:cs="Calibri"/>
          <w:lang w:val="en-GB"/>
        </w:rPr>
        <w:t>7,180</w:t>
      </w:r>
      <w:r w:rsidRPr="007072FB">
        <w:rPr>
          <w:rFonts w:ascii="Verdana" w:eastAsia="华文细黑" w:hAnsi="Verdana" w:cs="Calibri"/>
          <w:lang w:val="en-GB"/>
        </w:rPr>
        <w:t>元，增长</w:t>
      </w:r>
      <w:r w:rsidRPr="007072FB">
        <w:rPr>
          <w:rFonts w:ascii="Verdana" w:eastAsia="华文细黑" w:hAnsi="Verdana" w:cs="Calibri"/>
          <w:lang w:val="en-GB"/>
        </w:rPr>
        <w:t>5.0%</w:t>
      </w:r>
      <w:r w:rsidRPr="007072FB">
        <w:rPr>
          <w:rFonts w:ascii="Verdana" w:eastAsia="华文细黑" w:hAnsi="Verdana" w:cs="Calibri"/>
          <w:lang w:val="en-GB"/>
        </w:rPr>
        <w:t>；财产净收入</w:t>
      </w:r>
      <w:r w:rsidRPr="007072FB">
        <w:rPr>
          <w:rFonts w:ascii="Verdana" w:eastAsia="华文细黑" w:hAnsi="Verdana" w:cs="Calibri"/>
          <w:lang w:val="en-GB"/>
        </w:rPr>
        <w:t>1,282</w:t>
      </w:r>
      <w:r w:rsidRPr="007072FB">
        <w:rPr>
          <w:rFonts w:ascii="Verdana" w:eastAsia="华文细黑" w:hAnsi="Verdana" w:cs="Calibri"/>
          <w:lang w:val="en-GB"/>
        </w:rPr>
        <w:t>元，增长</w:t>
      </w:r>
      <w:r w:rsidRPr="007072FB">
        <w:rPr>
          <w:rFonts w:ascii="Verdana" w:eastAsia="华文细黑" w:hAnsi="Verdana" w:cs="Calibri"/>
          <w:lang w:val="en-GB"/>
        </w:rPr>
        <w:t>15.9%</w:t>
      </w:r>
      <w:r w:rsidRPr="007072FB">
        <w:rPr>
          <w:rFonts w:ascii="Verdana" w:eastAsia="华文细黑" w:hAnsi="Verdana" w:cs="Calibri"/>
          <w:lang w:val="en-GB"/>
        </w:rPr>
        <w:t>；转移净收入</w:t>
      </w:r>
      <w:r w:rsidRPr="007072FB">
        <w:rPr>
          <w:rFonts w:ascii="Verdana" w:eastAsia="华文细黑" w:hAnsi="Verdana" w:cs="Calibri"/>
          <w:lang w:val="en-GB"/>
        </w:rPr>
        <w:t>2,238</w:t>
      </w:r>
      <w:r w:rsidRPr="007072FB">
        <w:rPr>
          <w:rFonts w:ascii="Verdana" w:eastAsia="华文细黑" w:hAnsi="Verdana" w:cs="Calibri"/>
          <w:lang w:val="en-GB"/>
        </w:rPr>
        <w:t>元，增长</w:t>
      </w:r>
      <w:r w:rsidRPr="007072FB">
        <w:rPr>
          <w:rFonts w:ascii="Verdana" w:eastAsia="华文细黑" w:hAnsi="Verdana" w:cs="Calibri"/>
          <w:lang w:val="en-GB"/>
        </w:rPr>
        <w:t>11.3%</w:t>
      </w:r>
      <w:r w:rsidRPr="007072FB">
        <w:rPr>
          <w:rFonts w:ascii="Verdana" w:eastAsia="华文细黑" w:hAnsi="Verdana" w:cs="Calibri"/>
          <w:lang w:val="en-GB"/>
        </w:rPr>
        <w:t>。</w:t>
      </w:r>
    </w:p>
    <w:p w14:paraId="5506D80D" w14:textId="77777777" w:rsidR="000D1B9A" w:rsidRPr="007072FB" w:rsidRDefault="00000000">
      <w:pPr>
        <w:spacing w:before="120" w:after="120" w:line="360" w:lineRule="auto"/>
        <w:ind w:firstLine="454"/>
        <w:jc w:val="both"/>
        <w:rPr>
          <w:rFonts w:ascii="Verdana" w:eastAsia="华文细黑" w:hAnsi="Verdana" w:cs="Calibri"/>
          <w:lang w:val="en-GB"/>
        </w:rPr>
      </w:pPr>
      <w:r w:rsidRPr="007072FB">
        <w:rPr>
          <w:rFonts w:ascii="Verdana" w:eastAsia="华文细黑" w:hAnsi="Verdana" w:cs="Calibri"/>
          <w:lang w:val="en-GB"/>
        </w:rPr>
        <w:t>2021</w:t>
      </w:r>
      <w:r w:rsidRPr="007072FB">
        <w:rPr>
          <w:rFonts w:ascii="Verdana" w:eastAsia="华文细黑" w:hAnsi="Verdana" w:cs="Calibri"/>
          <w:lang w:val="en-GB"/>
        </w:rPr>
        <w:t>年，三亚市全年城乡居民人均可支配收入</w:t>
      </w:r>
      <w:r w:rsidRPr="007072FB">
        <w:rPr>
          <w:rFonts w:ascii="Verdana" w:eastAsia="华文细黑" w:hAnsi="Verdana" w:cs="Calibri"/>
          <w:lang w:val="en-GB"/>
        </w:rPr>
        <w:t>37,762</w:t>
      </w:r>
      <w:r w:rsidRPr="007072FB">
        <w:rPr>
          <w:rFonts w:ascii="Verdana" w:eastAsia="华文细黑" w:hAnsi="Verdana" w:cs="Calibri"/>
          <w:lang w:val="en-GB"/>
        </w:rPr>
        <w:t>元，增长</w:t>
      </w:r>
      <w:r w:rsidRPr="007072FB">
        <w:rPr>
          <w:rFonts w:ascii="Verdana" w:eastAsia="华文细黑" w:hAnsi="Verdana" w:cs="Calibri"/>
          <w:lang w:val="en-GB"/>
        </w:rPr>
        <w:t>9.0%</w:t>
      </w:r>
      <w:r w:rsidRPr="007072FB">
        <w:rPr>
          <w:rFonts w:ascii="Verdana" w:eastAsia="华文细黑" w:hAnsi="Verdana" w:cs="Calibri"/>
          <w:lang w:val="en-GB"/>
        </w:rPr>
        <w:t>。按常住地分，城镇常住居民人均可支配收入</w:t>
      </w:r>
      <w:r w:rsidRPr="007072FB">
        <w:rPr>
          <w:rFonts w:ascii="Verdana" w:eastAsia="华文细黑" w:hAnsi="Verdana" w:cs="Calibri"/>
          <w:lang w:val="en-GB"/>
        </w:rPr>
        <w:t>44,199</w:t>
      </w:r>
      <w:r w:rsidRPr="007072FB">
        <w:rPr>
          <w:rFonts w:ascii="Verdana" w:eastAsia="华文细黑" w:hAnsi="Verdana" w:cs="Calibri"/>
          <w:lang w:val="en-GB"/>
        </w:rPr>
        <w:t>元，增长</w:t>
      </w:r>
      <w:r w:rsidRPr="007072FB">
        <w:rPr>
          <w:rFonts w:ascii="Verdana" w:eastAsia="华文细黑" w:hAnsi="Verdana" w:cs="Calibri"/>
          <w:lang w:val="en-GB"/>
        </w:rPr>
        <w:t>9.0%</w:t>
      </w:r>
      <w:r w:rsidRPr="007072FB">
        <w:rPr>
          <w:rFonts w:ascii="Verdana" w:eastAsia="华文细黑" w:hAnsi="Verdana" w:cs="Calibri"/>
          <w:lang w:val="en-GB"/>
        </w:rPr>
        <w:t>；农村常住居民人均可支配收入</w:t>
      </w:r>
      <w:r w:rsidRPr="007072FB">
        <w:rPr>
          <w:rFonts w:ascii="Verdana" w:eastAsia="华文细黑" w:hAnsi="Verdana" w:cs="Calibri"/>
          <w:lang w:val="en-GB"/>
        </w:rPr>
        <w:t>20,413</w:t>
      </w:r>
      <w:r w:rsidRPr="007072FB">
        <w:rPr>
          <w:rFonts w:ascii="Verdana" w:eastAsia="华文细黑" w:hAnsi="Verdana" w:cs="Calibri"/>
          <w:lang w:val="en-GB"/>
        </w:rPr>
        <w:t>元，增长</w:t>
      </w:r>
      <w:r w:rsidRPr="007072FB">
        <w:rPr>
          <w:rFonts w:ascii="Verdana" w:eastAsia="华文细黑" w:hAnsi="Verdana" w:cs="Calibri"/>
          <w:lang w:val="en-GB"/>
        </w:rPr>
        <w:t>11.0%</w:t>
      </w:r>
      <w:r w:rsidRPr="007072FB">
        <w:rPr>
          <w:rFonts w:ascii="Verdana" w:eastAsia="华文细黑" w:hAnsi="Verdana" w:cs="Calibri"/>
          <w:lang w:val="en-GB"/>
        </w:rPr>
        <w:t>。</w:t>
      </w:r>
    </w:p>
    <w:p w14:paraId="029B459D" w14:textId="3ED30E63" w:rsidR="000D1B9A" w:rsidRPr="007072FB" w:rsidRDefault="00000000">
      <w:pPr>
        <w:spacing w:before="120" w:after="120" w:line="360" w:lineRule="auto"/>
        <w:ind w:firstLine="454"/>
        <w:jc w:val="both"/>
        <w:rPr>
          <w:rFonts w:ascii="Verdana" w:eastAsia="华文细黑" w:hAnsi="Verdana" w:cs="Calibri"/>
          <w:lang w:val="en-GB"/>
        </w:rPr>
      </w:pPr>
      <w:r w:rsidRPr="007072FB">
        <w:rPr>
          <w:rFonts w:ascii="Verdana" w:eastAsia="华文细黑" w:hAnsi="Verdana" w:cs="Calibri"/>
          <w:lang w:val="en-GB"/>
        </w:rPr>
        <w:t>2022</w:t>
      </w:r>
      <w:r w:rsidRPr="007072FB">
        <w:rPr>
          <w:rFonts w:ascii="Verdana" w:eastAsia="华文细黑" w:hAnsi="Verdana" w:cs="Calibri"/>
          <w:lang w:val="en-GB"/>
        </w:rPr>
        <w:t>年，三亚市城乡居民人均可支配收入</w:t>
      </w:r>
      <w:r w:rsidRPr="007072FB">
        <w:rPr>
          <w:rFonts w:ascii="Verdana" w:eastAsia="华文细黑" w:hAnsi="Verdana" w:cs="Calibri"/>
          <w:lang w:val="en-GB"/>
        </w:rPr>
        <w:t>37,504</w:t>
      </w:r>
      <w:r w:rsidRPr="007072FB">
        <w:rPr>
          <w:rFonts w:ascii="Verdana" w:eastAsia="华文细黑" w:hAnsi="Verdana" w:cs="Calibri"/>
          <w:lang w:val="en-GB"/>
        </w:rPr>
        <w:t>元，比上年下降</w:t>
      </w:r>
      <w:r w:rsidRPr="007072FB">
        <w:rPr>
          <w:rFonts w:ascii="Verdana" w:eastAsia="华文细黑" w:hAnsi="Verdana" w:cs="Calibri"/>
          <w:lang w:val="en-GB"/>
        </w:rPr>
        <w:t>0.7%</w:t>
      </w:r>
      <w:r w:rsidRPr="007072FB">
        <w:rPr>
          <w:rFonts w:ascii="Verdana" w:eastAsia="华文细黑" w:hAnsi="Verdana" w:cs="Calibri"/>
          <w:lang w:val="en-GB"/>
        </w:rPr>
        <w:t>。按常住地分，城镇常住居民人均可支配收入</w:t>
      </w:r>
      <w:r w:rsidRPr="007072FB">
        <w:rPr>
          <w:rFonts w:ascii="Verdana" w:eastAsia="华文细黑" w:hAnsi="Verdana" w:cs="Calibri"/>
          <w:lang w:val="en-GB"/>
        </w:rPr>
        <w:t>43</w:t>
      </w:r>
      <w:r w:rsidR="007424ED">
        <w:rPr>
          <w:rFonts w:ascii="Verdana" w:eastAsia="华文细黑" w:hAnsi="Verdana" w:cs="Calibri" w:hint="eastAsia"/>
          <w:lang w:val="en-GB"/>
        </w:rPr>
        <w:t>,</w:t>
      </w:r>
      <w:r w:rsidRPr="007072FB">
        <w:rPr>
          <w:rFonts w:ascii="Verdana" w:eastAsia="华文细黑" w:hAnsi="Verdana" w:cs="Calibri"/>
          <w:lang w:val="en-GB"/>
        </w:rPr>
        <w:t>403</w:t>
      </w:r>
      <w:r w:rsidRPr="007072FB">
        <w:rPr>
          <w:rFonts w:ascii="Verdana" w:eastAsia="华文细黑" w:hAnsi="Verdana" w:cs="Calibri"/>
          <w:lang w:val="en-GB"/>
        </w:rPr>
        <w:t>元，下降</w:t>
      </w:r>
      <w:r w:rsidRPr="007072FB">
        <w:rPr>
          <w:rFonts w:ascii="Verdana" w:eastAsia="华文细黑" w:hAnsi="Verdana" w:cs="Calibri"/>
          <w:lang w:val="en-GB"/>
        </w:rPr>
        <w:t>1.8%</w:t>
      </w:r>
      <w:r w:rsidRPr="007072FB">
        <w:rPr>
          <w:rFonts w:ascii="Verdana" w:eastAsia="华文细黑" w:hAnsi="Verdana" w:cs="Calibri"/>
          <w:lang w:val="en-GB"/>
        </w:rPr>
        <w:t>。农村常住居民人均可支配收入</w:t>
      </w:r>
      <w:r w:rsidRPr="007072FB">
        <w:rPr>
          <w:rFonts w:ascii="Verdana" w:eastAsia="华文细黑" w:hAnsi="Verdana" w:cs="Calibri"/>
          <w:lang w:val="en-GB"/>
        </w:rPr>
        <w:t>21</w:t>
      </w:r>
      <w:r w:rsidR="007424ED">
        <w:rPr>
          <w:rFonts w:ascii="Verdana" w:eastAsia="华文细黑" w:hAnsi="Verdana" w:cs="Calibri" w:hint="eastAsia"/>
          <w:lang w:val="en-GB"/>
        </w:rPr>
        <w:t>,</w:t>
      </w:r>
      <w:r w:rsidRPr="007072FB">
        <w:rPr>
          <w:rFonts w:ascii="Verdana" w:eastAsia="华文细黑" w:hAnsi="Verdana" w:cs="Calibri"/>
          <w:lang w:val="en-GB"/>
        </w:rPr>
        <w:t>189</w:t>
      </w:r>
      <w:r w:rsidRPr="007072FB">
        <w:rPr>
          <w:rFonts w:ascii="Verdana" w:eastAsia="华文细黑" w:hAnsi="Verdana" w:cs="Calibri"/>
          <w:lang w:val="en-GB"/>
        </w:rPr>
        <w:t>元，增长</w:t>
      </w:r>
      <w:r w:rsidRPr="007072FB">
        <w:rPr>
          <w:rFonts w:ascii="Verdana" w:eastAsia="华文细黑" w:hAnsi="Verdana" w:cs="Calibri"/>
          <w:lang w:val="en-GB"/>
        </w:rPr>
        <w:t>3.8%</w:t>
      </w:r>
      <w:r w:rsidRPr="007072FB">
        <w:rPr>
          <w:rFonts w:ascii="Verdana" w:eastAsia="华文细黑" w:hAnsi="Verdana" w:cs="Calibri"/>
          <w:lang w:val="en-GB"/>
        </w:rPr>
        <w:t>。</w:t>
      </w:r>
    </w:p>
    <w:p w14:paraId="5D1ED4B2" w14:textId="0B960417" w:rsidR="00F43EC7" w:rsidRPr="007072FB" w:rsidRDefault="00F43EC7" w:rsidP="003C3C26">
      <w:pPr>
        <w:spacing w:before="120" w:line="360" w:lineRule="auto"/>
        <w:ind w:firstLineChars="200" w:firstLine="480"/>
        <w:jc w:val="both"/>
        <w:rPr>
          <w:rFonts w:ascii="Verdana" w:eastAsia="华文细黑" w:hAnsi="Verdana" w:cs="楷体"/>
          <w:color w:val="000000" w:themeColor="text1"/>
          <w:lang w:val="en-GB"/>
        </w:rPr>
      </w:pPr>
      <w:r w:rsidRPr="007072FB">
        <w:rPr>
          <w:rFonts w:ascii="Verdana" w:eastAsia="华文细黑" w:hAnsi="Verdana" w:cs="楷体"/>
          <w:color w:val="000000" w:themeColor="text1"/>
          <w:lang w:val="en-GB"/>
        </w:rPr>
        <w:t>2023</w:t>
      </w:r>
      <w:r w:rsidRPr="007072FB">
        <w:rPr>
          <w:rFonts w:ascii="Verdana" w:eastAsia="华文细黑" w:hAnsi="Verdana" w:cs="楷体"/>
          <w:color w:val="000000" w:themeColor="text1"/>
          <w:lang w:val="en-GB"/>
        </w:rPr>
        <w:t>年，三亚市</w:t>
      </w:r>
      <w:proofErr w:type="gramStart"/>
      <w:r w:rsidRPr="007072FB">
        <w:rPr>
          <w:rFonts w:ascii="Verdana" w:eastAsia="华文细黑" w:hAnsi="Verdana" w:cs="楷体"/>
          <w:color w:val="000000" w:themeColor="text1"/>
          <w:lang w:val="en-GB"/>
        </w:rPr>
        <w:t>市</w:t>
      </w:r>
      <w:proofErr w:type="gramEnd"/>
      <w:r w:rsidRPr="007072FB">
        <w:rPr>
          <w:rFonts w:ascii="Verdana" w:eastAsia="华文细黑" w:hAnsi="Verdana" w:cs="楷体"/>
          <w:color w:val="000000" w:themeColor="text1"/>
          <w:lang w:val="en-GB"/>
        </w:rPr>
        <w:t>常住居民人均可支配收入</w:t>
      </w:r>
      <w:r w:rsidRPr="007072FB">
        <w:rPr>
          <w:rFonts w:ascii="Verdana" w:eastAsia="华文细黑" w:hAnsi="Verdana" w:cs="楷体"/>
          <w:color w:val="000000" w:themeColor="text1"/>
          <w:lang w:val="en-GB"/>
        </w:rPr>
        <w:t>39,799</w:t>
      </w:r>
      <w:r w:rsidRPr="007072FB">
        <w:rPr>
          <w:rFonts w:ascii="Verdana" w:eastAsia="华文细黑" w:hAnsi="Verdana" w:cs="楷体"/>
          <w:color w:val="000000" w:themeColor="text1"/>
          <w:lang w:val="en-GB"/>
        </w:rPr>
        <w:t>元，同比增长</w:t>
      </w:r>
      <w:r w:rsidRPr="007072FB">
        <w:rPr>
          <w:rFonts w:ascii="Verdana" w:eastAsia="华文细黑" w:hAnsi="Verdana" w:cs="楷体"/>
          <w:color w:val="000000" w:themeColor="text1"/>
          <w:lang w:val="en-GB"/>
        </w:rPr>
        <w:t>6.1%</w:t>
      </w:r>
      <w:r w:rsidRPr="007072FB">
        <w:rPr>
          <w:rFonts w:ascii="Verdana" w:eastAsia="华文细黑" w:hAnsi="Verdana" w:cs="楷体"/>
          <w:color w:val="000000" w:themeColor="text1"/>
          <w:lang w:val="en-GB"/>
        </w:rPr>
        <w:t>。按常住地分，城镇常住居民人均可支配收入</w:t>
      </w:r>
      <w:r w:rsidRPr="007072FB">
        <w:rPr>
          <w:rFonts w:ascii="Verdana" w:eastAsia="华文细黑" w:hAnsi="Verdana" w:cs="楷体"/>
          <w:color w:val="000000" w:themeColor="text1"/>
          <w:lang w:val="en-GB"/>
        </w:rPr>
        <w:t>45,877</w:t>
      </w:r>
      <w:r w:rsidRPr="007072FB">
        <w:rPr>
          <w:rFonts w:ascii="Verdana" w:eastAsia="华文细黑" w:hAnsi="Verdana" w:cs="楷体"/>
          <w:color w:val="000000" w:themeColor="text1"/>
          <w:lang w:val="en-GB"/>
        </w:rPr>
        <w:t>元，比上年增加</w:t>
      </w:r>
      <w:r w:rsidRPr="007072FB">
        <w:rPr>
          <w:rFonts w:ascii="Verdana" w:eastAsia="华文细黑" w:hAnsi="Verdana" w:cs="楷体"/>
          <w:color w:val="000000" w:themeColor="text1"/>
          <w:lang w:val="en-GB"/>
        </w:rPr>
        <w:t>2,474</w:t>
      </w:r>
      <w:r w:rsidRPr="007072FB">
        <w:rPr>
          <w:rFonts w:ascii="Verdana" w:eastAsia="华文细黑" w:hAnsi="Verdana" w:cs="楷体"/>
          <w:color w:val="000000" w:themeColor="text1"/>
          <w:lang w:val="en-GB"/>
        </w:rPr>
        <w:t>元，增长</w:t>
      </w:r>
      <w:r w:rsidRPr="007072FB">
        <w:rPr>
          <w:rFonts w:ascii="Verdana" w:eastAsia="华文细黑" w:hAnsi="Verdana" w:cs="楷体"/>
          <w:color w:val="000000" w:themeColor="text1"/>
          <w:lang w:val="en-GB"/>
        </w:rPr>
        <w:t>5.7%</w:t>
      </w:r>
      <w:r w:rsidRPr="007072FB">
        <w:rPr>
          <w:rFonts w:ascii="Verdana" w:eastAsia="华文细黑" w:hAnsi="Verdana" w:cs="楷体"/>
          <w:color w:val="000000" w:themeColor="text1"/>
          <w:lang w:val="en-GB"/>
        </w:rPr>
        <w:t>；农村常住居民人均可支配收入</w:t>
      </w:r>
      <w:r w:rsidRPr="007072FB">
        <w:rPr>
          <w:rFonts w:ascii="Verdana" w:eastAsia="华文细黑" w:hAnsi="Verdana" w:cs="楷体"/>
          <w:color w:val="000000" w:themeColor="text1"/>
          <w:lang w:val="en-GB"/>
        </w:rPr>
        <w:t>22,990</w:t>
      </w:r>
      <w:r w:rsidRPr="007072FB">
        <w:rPr>
          <w:rFonts w:ascii="Verdana" w:eastAsia="华文细黑" w:hAnsi="Verdana" w:cs="楷体"/>
          <w:color w:val="000000" w:themeColor="text1"/>
          <w:lang w:val="en-GB"/>
        </w:rPr>
        <w:t>元，比上年增加</w:t>
      </w:r>
      <w:r w:rsidRPr="007072FB">
        <w:rPr>
          <w:rFonts w:ascii="Verdana" w:eastAsia="华文细黑" w:hAnsi="Verdana" w:cs="楷体"/>
          <w:color w:val="000000" w:themeColor="text1"/>
          <w:lang w:val="en-GB"/>
        </w:rPr>
        <w:t>1,801</w:t>
      </w:r>
      <w:r w:rsidRPr="007072FB">
        <w:rPr>
          <w:rFonts w:ascii="Verdana" w:eastAsia="华文细黑" w:hAnsi="Verdana" w:cs="楷体"/>
          <w:color w:val="000000" w:themeColor="text1"/>
          <w:lang w:val="en-GB"/>
        </w:rPr>
        <w:t>元，增长</w:t>
      </w:r>
      <w:r w:rsidRPr="007072FB">
        <w:rPr>
          <w:rFonts w:ascii="Verdana" w:eastAsia="华文细黑" w:hAnsi="Verdana" w:cs="楷体"/>
          <w:color w:val="000000" w:themeColor="text1"/>
          <w:lang w:val="en-GB"/>
        </w:rPr>
        <w:t>8.5%</w:t>
      </w:r>
      <w:r w:rsidRPr="007072FB">
        <w:rPr>
          <w:rFonts w:ascii="Verdana" w:eastAsia="华文细黑" w:hAnsi="Verdana" w:cs="楷体"/>
          <w:color w:val="000000" w:themeColor="text1"/>
          <w:lang w:val="en-GB"/>
        </w:rPr>
        <w:t>。</w:t>
      </w:r>
    </w:p>
    <w:p w14:paraId="19CA582D" w14:textId="77777777" w:rsidR="000D1B9A" w:rsidRPr="007072FB" w:rsidRDefault="00000000">
      <w:pPr>
        <w:spacing w:before="120" w:after="120" w:line="360" w:lineRule="auto"/>
        <w:outlineLvl w:val="0"/>
        <w:rPr>
          <w:rFonts w:ascii="Verdana" w:eastAsia="华文细黑" w:hAnsi="Verdana" w:cs="Calibri"/>
          <w:b/>
          <w:sz w:val="28"/>
        </w:rPr>
      </w:pPr>
      <w:bookmarkStart w:id="23" w:name="_Toc135044140"/>
      <w:bookmarkStart w:id="24" w:name="_Toc39093419"/>
      <w:bookmarkStart w:id="25" w:name="_Toc38898999"/>
      <w:bookmarkStart w:id="26" w:name="_Toc38921588"/>
      <w:bookmarkStart w:id="27" w:name="_Toc28675798"/>
      <w:r w:rsidRPr="007072FB">
        <w:rPr>
          <w:rFonts w:ascii="Verdana" w:eastAsia="华文细黑" w:hAnsi="Verdana" w:cs="Calibri"/>
          <w:b/>
          <w:sz w:val="28"/>
        </w:rPr>
        <w:t>3</w:t>
      </w:r>
      <w:r w:rsidRPr="007072FB">
        <w:rPr>
          <w:rFonts w:ascii="Verdana" w:eastAsia="华文细黑" w:hAnsi="Verdana" w:cs="Calibri"/>
          <w:b/>
          <w:sz w:val="28"/>
        </w:rPr>
        <w:t>．一般公共预算收支</w:t>
      </w:r>
      <w:bookmarkEnd w:id="20"/>
      <w:bookmarkEnd w:id="21"/>
      <w:bookmarkEnd w:id="22"/>
      <w:bookmarkEnd w:id="23"/>
      <w:bookmarkEnd w:id="24"/>
      <w:bookmarkEnd w:id="25"/>
      <w:bookmarkEnd w:id="26"/>
      <w:bookmarkEnd w:id="27"/>
    </w:p>
    <w:p w14:paraId="21A28C42" w14:textId="77777777" w:rsidR="000D1B9A" w:rsidRPr="007072FB" w:rsidRDefault="00000000">
      <w:pPr>
        <w:spacing w:before="120" w:after="120" w:line="360" w:lineRule="auto"/>
        <w:ind w:firstLine="454"/>
        <w:jc w:val="both"/>
        <w:rPr>
          <w:rFonts w:ascii="Verdana" w:eastAsia="华文细黑" w:hAnsi="Verdana" w:cs="Calibri"/>
          <w:lang w:val="en-GB"/>
        </w:rPr>
      </w:pPr>
      <w:r w:rsidRPr="007072FB">
        <w:rPr>
          <w:rFonts w:ascii="Verdana" w:eastAsia="华文细黑" w:hAnsi="Verdana" w:cs="Calibri"/>
          <w:lang w:val="en-GB"/>
        </w:rPr>
        <w:lastRenderedPageBreak/>
        <w:t>2020</w:t>
      </w:r>
      <w:r w:rsidRPr="007072FB">
        <w:rPr>
          <w:rFonts w:ascii="Verdana" w:eastAsia="华文细黑" w:hAnsi="Verdana" w:cs="Calibri"/>
          <w:lang w:val="en-GB"/>
        </w:rPr>
        <w:t>年，三亚市实现地方一般公共预算收入</w:t>
      </w:r>
      <w:r w:rsidRPr="007072FB">
        <w:rPr>
          <w:rFonts w:ascii="Verdana" w:eastAsia="华文细黑" w:hAnsi="Verdana" w:cs="Calibri"/>
          <w:lang w:val="en-GB"/>
        </w:rPr>
        <w:t>110.41</w:t>
      </w:r>
      <w:r w:rsidRPr="007072FB">
        <w:rPr>
          <w:rFonts w:ascii="Verdana" w:eastAsia="华文细黑" w:hAnsi="Verdana" w:cs="Calibri"/>
          <w:lang w:val="en-GB"/>
        </w:rPr>
        <w:t>亿元，比上年增长</w:t>
      </w:r>
      <w:r w:rsidRPr="007072FB">
        <w:rPr>
          <w:rFonts w:ascii="Verdana" w:eastAsia="华文细黑" w:hAnsi="Verdana" w:cs="Calibri"/>
          <w:lang w:val="en-GB"/>
        </w:rPr>
        <w:t>1.2%</w:t>
      </w:r>
      <w:r w:rsidRPr="007072FB">
        <w:rPr>
          <w:rFonts w:ascii="Verdana" w:eastAsia="华文细黑" w:hAnsi="Verdana" w:cs="Calibri"/>
          <w:lang w:val="en-GB"/>
        </w:rPr>
        <w:t>。其中，税收收入</w:t>
      </w:r>
      <w:r w:rsidRPr="007072FB">
        <w:rPr>
          <w:rFonts w:ascii="Verdana" w:eastAsia="华文细黑" w:hAnsi="Verdana" w:cs="Calibri"/>
          <w:lang w:val="en-GB"/>
        </w:rPr>
        <w:t>62.03</w:t>
      </w:r>
      <w:r w:rsidRPr="007072FB">
        <w:rPr>
          <w:rFonts w:ascii="Verdana" w:eastAsia="华文细黑" w:hAnsi="Verdana" w:cs="Calibri"/>
          <w:lang w:val="en-GB"/>
        </w:rPr>
        <w:t>亿元，下降</w:t>
      </w:r>
      <w:r w:rsidRPr="007072FB">
        <w:rPr>
          <w:rFonts w:ascii="Verdana" w:eastAsia="华文细黑" w:hAnsi="Verdana" w:cs="Calibri"/>
          <w:lang w:val="en-GB"/>
        </w:rPr>
        <w:t>18.8%</w:t>
      </w:r>
      <w:r w:rsidRPr="007072FB">
        <w:rPr>
          <w:rFonts w:ascii="Verdana" w:eastAsia="华文细黑" w:hAnsi="Verdana" w:cs="Calibri"/>
          <w:lang w:val="en-GB"/>
        </w:rPr>
        <w:t>；非税收收入</w:t>
      </w:r>
      <w:r w:rsidRPr="007072FB">
        <w:rPr>
          <w:rFonts w:ascii="Verdana" w:eastAsia="华文细黑" w:hAnsi="Verdana" w:cs="Calibri"/>
          <w:lang w:val="en-GB"/>
        </w:rPr>
        <w:t>48.39</w:t>
      </w:r>
      <w:r w:rsidRPr="007072FB">
        <w:rPr>
          <w:rFonts w:ascii="Verdana" w:eastAsia="华文细黑" w:hAnsi="Verdana" w:cs="Calibri"/>
          <w:lang w:val="en-GB"/>
        </w:rPr>
        <w:t>亿元，增长</w:t>
      </w:r>
      <w:r w:rsidRPr="007072FB">
        <w:rPr>
          <w:rFonts w:ascii="Verdana" w:eastAsia="华文细黑" w:hAnsi="Verdana" w:cs="Calibri"/>
          <w:lang w:val="en-GB"/>
        </w:rPr>
        <w:t>48.1%</w:t>
      </w:r>
      <w:r w:rsidRPr="007072FB">
        <w:rPr>
          <w:rFonts w:ascii="Verdana" w:eastAsia="华文细黑" w:hAnsi="Verdana" w:cs="Calibri"/>
          <w:lang w:val="en-GB"/>
        </w:rPr>
        <w:t>。税收收入中，增值税</w:t>
      </w:r>
      <w:r w:rsidRPr="007072FB">
        <w:rPr>
          <w:rFonts w:ascii="Verdana" w:eastAsia="华文细黑" w:hAnsi="Verdana" w:cs="Calibri"/>
          <w:lang w:val="en-GB"/>
        </w:rPr>
        <w:t>16.31</w:t>
      </w:r>
      <w:r w:rsidRPr="007072FB">
        <w:rPr>
          <w:rFonts w:ascii="Verdana" w:eastAsia="华文细黑" w:hAnsi="Verdana" w:cs="Calibri"/>
          <w:lang w:val="en-GB"/>
        </w:rPr>
        <w:t>亿元，下降</w:t>
      </w:r>
      <w:r w:rsidRPr="007072FB">
        <w:rPr>
          <w:rFonts w:ascii="Verdana" w:eastAsia="华文细黑" w:hAnsi="Verdana" w:cs="Calibri"/>
          <w:lang w:val="en-GB"/>
        </w:rPr>
        <w:t>9.3%</w:t>
      </w:r>
      <w:r w:rsidRPr="007072FB">
        <w:rPr>
          <w:rFonts w:ascii="Verdana" w:eastAsia="华文细黑" w:hAnsi="Verdana" w:cs="Calibri"/>
          <w:lang w:val="en-GB"/>
        </w:rPr>
        <w:t>；企业所得税</w:t>
      </w:r>
      <w:r w:rsidRPr="007072FB">
        <w:rPr>
          <w:rFonts w:ascii="Verdana" w:eastAsia="华文细黑" w:hAnsi="Verdana" w:cs="Calibri"/>
          <w:lang w:val="en-GB"/>
        </w:rPr>
        <w:t>12.73</w:t>
      </w:r>
      <w:r w:rsidRPr="007072FB">
        <w:rPr>
          <w:rFonts w:ascii="Verdana" w:eastAsia="华文细黑" w:hAnsi="Verdana" w:cs="Calibri"/>
          <w:lang w:val="en-GB"/>
        </w:rPr>
        <w:t>亿元，下降</w:t>
      </w:r>
      <w:r w:rsidRPr="007072FB">
        <w:rPr>
          <w:rFonts w:ascii="Verdana" w:eastAsia="华文细黑" w:hAnsi="Verdana" w:cs="Calibri"/>
          <w:lang w:val="en-GB"/>
        </w:rPr>
        <w:t>9.4%</w:t>
      </w:r>
      <w:r w:rsidRPr="007072FB">
        <w:rPr>
          <w:rFonts w:ascii="Verdana" w:eastAsia="华文细黑" w:hAnsi="Verdana" w:cs="Calibri"/>
          <w:lang w:val="en-GB"/>
        </w:rPr>
        <w:t>；土地增值税</w:t>
      </w:r>
      <w:r w:rsidRPr="007072FB">
        <w:rPr>
          <w:rFonts w:ascii="Verdana" w:eastAsia="华文细黑" w:hAnsi="Verdana" w:cs="Calibri"/>
          <w:lang w:val="en-GB"/>
        </w:rPr>
        <w:t>14.49</w:t>
      </w:r>
      <w:r w:rsidRPr="007072FB">
        <w:rPr>
          <w:rFonts w:ascii="Verdana" w:eastAsia="华文细黑" w:hAnsi="Verdana" w:cs="Calibri"/>
          <w:lang w:val="en-GB"/>
        </w:rPr>
        <w:t>亿元，下降</w:t>
      </w:r>
      <w:r w:rsidRPr="007072FB">
        <w:rPr>
          <w:rFonts w:ascii="Verdana" w:eastAsia="华文细黑" w:hAnsi="Verdana" w:cs="Calibri"/>
          <w:lang w:val="en-GB"/>
        </w:rPr>
        <w:t>24.0%</w:t>
      </w:r>
      <w:r w:rsidRPr="007072FB">
        <w:rPr>
          <w:rFonts w:ascii="Verdana" w:eastAsia="华文细黑" w:hAnsi="Verdana" w:cs="Calibri"/>
          <w:lang w:val="en-GB"/>
        </w:rPr>
        <w:t>；契税</w:t>
      </w:r>
      <w:r w:rsidRPr="007072FB">
        <w:rPr>
          <w:rFonts w:ascii="Verdana" w:eastAsia="华文细黑" w:hAnsi="Verdana" w:cs="Calibri"/>
          <w:lang w:val="en-GB"/>
        </w:rPr>
        <w:t>4.37</w:t>
      </w:r>
      <w:r w:rsidRPr="007072FB">
        <w:rPr>
          <w:rFonts w:ascii="Verdana" w:eastAsia="华文细黑" w:hAnsi="Verdana" w:cs="Calibri"/>
          <w:lang w:val="en-GB"/>
        </w:rPr>
        <w:t>亿元，下降</w:t>
      </w:r>
      <w:r w:rsidRPr="007072FB">
        <w:rPr>
          <w:rFonts w:ascii="Verdana" w:eastAsia="华文细黑" w:hAnsi="Verdana" w:cs="Calibri"/>
          <w:lang w:val="en-GB"/>
        </w:rPr>
        <w:t>14.8%</w:t>
      </w:r>
      <w:r w:rsidRPr="007072FB">
        <w:rPr>
          <w:rFonts w:ascii="Verdana" w:eastAsia="华文细黑" w:hAnsi="Verdana" w:cs="Calibri"/>
          <w:lang w:val="en-GB"/>
        </w:rPr>
        <w:t>；房产税</w:t>
      </w:r>
      <w:r w:rsidRPr="007072FB">
        <w:rPr>
          <w:rFonts w:ascii="Verdana" w:eastAsia="华文细黑" w:hAnsi="Verdana" w:cs="Calibri"/>
          <w:lang w:val="en-GB"/>
        </w:rPr>
        <w:t>4.21</w:t>
      </w:r>
      <w:r w:rsidRPr="007072FB">
        <w:rPr>
          <w:rFonts w:ascii="Verdana" w:eastAsia="华文细黑" w:hAnsi="Verdana" w:cs="Calibri"/>
          <w:lang w:val="en-GB"/>
        </w:rPr>
        <w:t>亿元，下降</w:t>
      </w:r>
      <w:r w:rsidRPr="007072FB">
        <w:rPr>
          <w:rFonts w:ascii="Verdana" w:eastAsia="华文细黑" w:hAnsi="Verdana" w:cs="Calibri"/>
          <w:lang w:val="en-GB"/>
        </w:rPr>
        <w:t>32.0%</w:t>
      </w:r>
      <w:r w:rsidRPr="007072FB">
        <w:rPr>
          <w:rFonts w:ascii="Verdana" w:eastAsia="华文细黑" w:hAnsi="Verdana" w:cs="Calibri"/>
          <w:lang w:val="en-GB"/>
        </w:rPr>
        <w:t>；城镇土地使用税</w:t>
      </w:r>
      <w:r w:rsidRPr="007072FB">
        <w:rPr>
          <w:rFonts w:ascii="Verdana" w:eastAsia="华文细黑" w:hAnsi="Verdana" w:cs="Calibri"/>
          <w:lang w:val="en-GB"/>
        </w:rPr>
        <w:t>2.63</w:t>
      </w:r>
      <w:r w:rsidRPr="007072FB">
        <w:rPr>
          <w:rFonts w:ascii="Verdana" w:eastAsia="华文细黑" w:hAnsi="Verdana" w:cs="Calibri"/>
          <w:lang w:val="en-GB"/>
        </w:rPr>
        <w:t>亿元，下降</w:t>
      </w:r>
      <w:r w:rsidRPr="007072FB">
        <w:rPr>
          <w:rFonts w:ascii="Verdana" w:eastAsia="华文细黑" w:hAnsi="Verdana" w:cs="Calibri"/>
          <w:lang w:val="en-GB"/>
        </w:rPr>
        <w:t>24.8%</w:t>
      </w:r>
      <w:r w:rsidRPr="007072FB">
        <w:rPr>
          <w:rFonts w:ascii="Verdana" w:eastAsia="华文细黑" w:hAnsi="Verdana" w:cs="Calibri"/>
          <w:lang w:val="en-GB"/>
        </w:rPr>
        <w:t>；城市维护建设税</w:t>
      </w:r>
      <w:r w:rsidRPr="007072FB">
        <w:rPr>
          <w:rFonts w:ascii="Verdana" w:eastAsia="华文细黑" w:hAnsi="Verdana" w:cs="Calibri"/>
          <w:lang w:val="en-GB"/>
        </w:rPr>
        <w:t>2.83</w:t>
      </w:r>
      <w:r w:rsidRPr="007072FB">
        <w:rPr>
          <w:rFonts w:ascii="Verdana" w:eastAsia="华文细黑" w:hAnsi="Verdana" w:cs="Calibri"/>
          <w:lang w:val="en-GB"/>
        </w:rPr>
        <w:t>亿元，下降</w:t>
      </w:r>
      <w:r w:rsidRPr="007072FB">
        <w:rPr>
          <w:rFonts w:ascii="Verdana" w:eastAsia="华文细黑" w:hAnsi="Verdana" w:cs="Calibri"/>
          <w:lang w:val="en-GB"/>
        </w:rPr>
        <w:t>8.5%</w:t>
      </w:r>
      <w:r w:rsidRPr="007072FB">
        <w:rPr>
          <w:rFonts w:ascii="Verdana" w:eastAsia="华文细黑" w:hAnsi="Verdana" w:cs="Calibri"/>
          <w:lang w:val="en-GB"/>
        </w:rPr>
        <w:t>；个人所得税</w:t>
      </w:r>
      <w:r w:rsidRPr="007072FB">
        <w:rPr>
          <w:rFonts w:ascii="Verdana" w:eastAsia="华文细黑" w:hAnsi="Verdana" w:cs="Calibri"/>
          <w:lang w:val="en-GB"/>
        </w:rPr>
        <w:t>2.06</w:t>
      </w:r>
      <w:r w:rsidRPr="007072FB">
        <w:rPr>
          <w:rFonts w:ascii="Verdana" w:eastAsia="华文细黑" w:hAnsi="Verdana" w:cs="Calibri"/>
          <w:lang w:val="en-GB"/>
        </w:rPr>
        <w:t>亿元，下降</w:t>
      </w:r>
      <w:r w:rsidRPr="007072FB">
        <w:rPr>
          <w:rFonts w:ascii="Verdana" w:eastAsia="华文细黑" w:hAnsi="Verdana" w:cs="Calibri"/>
          <w:lang w:val="en-GB"/>
        </w:rPr>
        <w:t>20.2%</w:t>
      </w:r>
      <w:r w:rsidRPr="007072FB">
        <w:rPr>
          <w:rFonts w:ascii="Verdana" w:eastAsia="华文细黑" w:hAnsi="Verdana" w:cs="Calibri"/>
          <w:lang w:val="en-GB"/>
        </w:rPr>
        <w:t>。全市地方一般公共预算支出</w:t>
      </w:r>
      <w:r w:rsidRPr="007072FB">
        <w:rPr>
          <w:rFonts w:ascii="Verdana" w:eastAsia="华文细黑" w:hAnsi="Verdana" w:cs="Calibri"/>
          <w:lang w:val="en-GB"/>
        </w:rPr>
        <w:t>199.68</w:t>
      </w:r>
      <w:r w:rsidRPr="007072FB">
        <w:rPr>
          <w:rFonts w:ascii="Verdana" w:eastAsia="华文细黑" w:hAnsi="Verdana" w:cs="Calibri"/>
          <w:lang w:val="en-GB"/>
        </w:rPr>
        <w:t>亿元，比上年下降</w:t>
      </w:r>
      <w:r w:rsidRPr="007072FB">
        <w:rPr>
          <w:rFonts w:ascii="Verdana" w:eastAsia="华文细黑" w:hAnsi="Verdana" w:cs="Calibri"/>
          <w:lang w:val="en-GB"/>
        </w:rPr>
        <w:t>7.3%</w:t>
      </w:r>
      <w:r w:rsidRPr="007072FB">
        <w:rPr>
          <w:rFonts w:ascii="Verdana" w:eastAsia="华文细黑" w:hAnsi="Verdana" w:cs="Calibri"/>
          <w:lang w:val="en-GB"/>
        </w:rPr>
        <w:t>。与民生相关的支出中，卫生健康支出</w:t>
      </w:r>
      <w:r w:rsidRPr="007072FB">
        <w:rPr>
          <w:rFonts w:ascii="Verdana" w:eastAsia="华文细黑" w:hAnsi="Verdana" w:cs="Calibri"/>
          <w:lang w:val="en-GB"/>
        </w:rPr>
        <w:t>17.83</w:t>
      </w:r>
      <w:r w:rsidRPr="007072FB">
        <w:rPr>
          <w:rFonts w:ascii="Verdana" w:eastAsia="华文细黑" w:hAnsi="Verdana" w:cs="Calibri"/>
          <w:lang w:val="en-GB"/>
        </w:rPr>
        <w:t>亿元，增长</w:t>
      </w:r>
      <w:r w:rsidRPr="007072FB">
        <w:rPr>
          <w:rFonts w:ascii="Verdana" w:eastAsia="华文细黑" w:hAnsi="Verdana" w:cs="Calibri"/>
          <w:lang w:val="en-GB"/>
        </w:rPr>
        <w:t>50.1%</w:t>
      </w:r>
      <w:r w:rsidRPr="007072FB">
        <w:rPr>
          <w:rFonts w:ascii="Verdana" w:eastAsia="华文细黑" w:hAnsi="Verdana" w:cs="Calibri"/>
          <w:lang w:val="en-GB"/>
        </w:rPr>
        <w:t>；教育支出</w:t>
      </w:r>
      <w:r w:rsidRPr="007072FB">
        <w:rPr>
          <w:rFonts w:ascii="Verdana" w:eastAsia="华文细黑" w:hAnsi="Verdana" w:cs="Calibri"/>
          <w:lang w:val="en-GB"/>
        </w:rPr>
        <w:t>23.71</w:t>
      </w:r>
      <w:r w:rsidRPr="007072FB">
        <w:rPr>
          <w:rFonts w:ascii="Verdana" w:eastAsia="华文细黑" w:hAnsi="Verdana" w:cs="Calibri"/>
          <w:lang w:val="en-GB"/>
        </w:rPr>
        <w:t>亿元，增长</w:t>
      </w:r>
      <w:r w:rsidRPr="007072FB">
        <w:rPr>
          <w:rFonts w:ascii="Verdana" w:eastAsia="华文细黑" w:hAnsi="Verdana" w:cs="Calibri"/>
          <w:lang w:val="en-GB"/>
        </w:rPr>
        <w:t>5.8%</w:t>
      </w:r>
      <w:r w:rsidRPr="007072FB">
        <w:rPr>
          <w:rFonts w:ascii="Verdana" w:eastAsia="华文细黑" w:hAnsi="Verdana" w:cs="Calibri"/>
          <w:lang w:val="en-GB"/>
        </w:rPr>
        <w:t>；节能环保支出</w:t>
      </w:r>
      <w:r w:rsidRPr="007072FB">
        <w:rPr>
          <w:rFonts w:ascii="Verdana" w:eastAsia="华文细黑" w:hAnsi="Verdana" w:cs="Calibri"/>
          <w:lang w:val="en-GB"/>
        </w:rPr>
        <w:t>8.54</w:t>
      </w:r>
      <w:r w:rsidRPr="007072FB">
        <w:rPr>
          <w:rFonts w:ascii="Verdana" w:eastAsia="华文细黑" w:hAnsi="Verdana" w:cs="Calibri"/>
          <w:lang w:val="en-GB"/>
        </w:rPr>
        <w:t>亿元，增长</w:t>
      </w:r>
      <w:r w:rsidRPr="007072FB">
        <w:rPr>
          <w:rFonts w:ascii="Verdana" w:eastAsia="华文细黑" w:hAnsi="Verdana" w:cs="Calibri"/>
          <w:lang w:val="en-GB"/>
        </w:rPr>
        <w:t>1.6%</w:t>
      </w:r>
      <w:r w:rsidRPr="007072FB">
        <w:rPr>
          <w:rFonts w:ascii="Verdana" w:eastAsia="华文细黑" w:hAnsi="Verdana" w:cs="Calibri"/>
          <w:lang w:val="en-GB"/>
        </w:rPr>
        <w:t>；城乡社区支出</w:t>
      </w:r>
      <w:r w:rsidRPr="007072FB">
        <w:rPr>
          <w:rFonts w:ascii="Verdana" w:eastAsia="华文细黑" w:hAnsi="Verdana" w:cs="Calibri"/>
          <w:lang w:val="en-GB"/>
        </w:rPr>
        <w:t>32.12</w:t>
      </w:r>
      <w:r w:rsidRPr="007072FB">
        <w:rPr>
          <w:rFonts w:ascii="Verdana" w:eastAsia="华文细黑" w:hAnsi="Verdana" w:cs="Calibri"/>
          <w:lang w:val="en-GB"/>
        </w:rPr>
        <w:t>亿元，增长</w:t>
      </w:r>
      <w:r w:rsidRPr="007072FB">
        <w:rPr>
          <w:rFonts w:ascii="Verdana" w:eastAsia="华文细黑" w:hAnsi="Verdana" w:cs="Calibri"/>
          <w:lang w:val="en-GB"/>
        </w:rPr>
        <w:t>0.5%</w:t>
      </w:r>
      <w:r w:rsidRPr="007072FB">
        <w:rPr>
          <w:rFonts w:ascii="Verdana" w:eastAsia="华文细黑" w:hAnsi="Verdana" w:cs="Calibri"/>
          <w:lang w:val="en-GB"/>
        </w:rPr>
        <w:t>。</w:t>
      </w:r>
    </w:p>
    <w:p w14:paraId="73EB77B9" w14:textId="77777777" w:rsidR="000D1B9A" w:rsidRPr="007072FB" w:rsidRDefault="00000000">
      <w:pPr>
        <w:spacing w:before="120" w:after="120" w:line="360" w:lineRule="auto"/>
        <w:ind w:firstLine="454"/>
        <w:jc w:val="both"/>
        <w:rPr>
          <w:rFonts w:ascii="Verdana" w:eastAsia="华文细黑" w:hAnsi="Verdana" w:cs="Calibri"/>
          <w:lang w:val="en-GB"/>
        </w:rPr>
      </w:pPr>
      <w:r w:rsidRPr="007072FB">
        <w:rPr>
          <w:rFonts w:ascii="Verdana" w:eastAsia="华文细黑" w:hAnsi="Verdana" w:cs="Calibri"/>
          <w:lang w:val="en-GB"/>
        </w:rPr>
        <w:t>2021</w:t>
      </w:r>
      <w:r w:rsidRPr="007072FB">
        <w:rPr>
          <w:rFonts w:ascii="Verdana" w:eastAsia="华文细黑" w:hAnsi="Verdana" w:cs="Calibri"/>
          <w:lang w:val="en-GB"/>
        </w:rPr>
        <w:t>年，全市实现地方一般公共预算收入</w:t>
      </w:r>
      <w:r w:rsidRPr="007072FB">
        <w:rPr>
          <w:rFonts w:ascii="Verdana" w:eastAsia="华文细黑" w:hAnsi="Verdana" w:cs="Calibri"/>
          <w:lang w:val="en-GB"/>
        </w:rPr>
        <w:t>117.14</w:t>
      </w:r>
      <w:r w:rsidRPr="007072FB">
        <w:rPr>
          <w:rFonts w:ascii="Verdana" w:eastAsia="华文细黑" w:hAnsi="Verdana" w:cs="Calibri"/>
          <w:lang w:val="en-GB"/>
        </w:rPr>
        <w:t>亿元，比上年增长</w:t>
      </w:r>
      <w:r w:rsidRPr="007072FB">
        <w:rPr>
          <w:rFonts w:ascii="Verdana" w:eastAsia="华文细黑" w:hAnsi="Verdana" w:cs="Calibri"/>
          <w:lang w:val="en-GB"/>
        </w:rPr>
        <w:t>6.1%</w:t>
      </w:r>
      <w:r w:rsidRPr="007072FB">
        <w:rPr>
          <w:rFonts w:ascii="Verdana" w:eastAsia="华文细黑" w:hAnsi="Verdana" w:cs="Calibri"/>
          <w:lang w:val="en-GB"/>
        </w:rPr>
        <w:t>。其中，税收收入</w:t>
      </w:r>
      <w:r w:rsidRPr="007072FB">
        <w:rPr>
          <w:rFonts w:ascii="Verdana" w:eastAsia="华文细黑" w:hAnsi="Verdana" w:cs="Calibri"/>
          <w:lang w:val="en-GB"/>
        </w:rPr>
        <w:t>83.56</w:t>
      </w:r>
      <w:r w:rsidRPr="007072FB">
        <w:rPr>
          <w:rFonts w:ascii="Verdana" w:eastAsia="华文细黑" w:hAnsi="Verdana" w:cs="Calibri"/>
          <w:lang w:val="en-GB"/>
        </w:rPr>
        <w:t>亿元，增长</w:t>
      </w:r>
      <w:r w:rsidRPr="007072FB">
        <w:rPr>
          <w:rFonts w:ascii="Verdana" w:eastAsia="华文细黑" w:hAnsi="Verdana" w:cs="Calibri"/>
          <w:lang w:val="en-GB"/>
        </w:rPr>
        <w:t>34.7%</w:t>
      </w:r>
      <w:r w:rsidRPr="007072FB">
        <w:rPr>
          <w:rFonts w:ascii="Verdana" w:eastAsia="华文细黑" w:hAnsi="Verdana" w:cs="Calibri"/>
          <w:lang w:val="en-GB"/>
        </w:rPr>
        <w:t>；非税收收入</w:t>
      </w:r>
      <w:r w:rsidRPr="007072FB">
        <w:rPr>
          <w:rFonts w:ascii="Verdana" w:eastAsia="华文细黑" w:hAnsi="Verdana" w:cs="Calibri"/>
          <w:lang w:val="en-GB"/>
        </w:rPr>
        <w:t>33.58</w:t>
      </w:r>
      <w:r w:rsidRPr="007072FB">
        <w:rPr>
          <w:rFonts w:ascii="Verdana" w:eastAsia="华文细黑" w:hAnsi="Verdana" w:cs="Calibri"/>
          <w:lang w:val="en-GB"/>
        </w:rPr>
        <w:t>亿元，下降</w:t>
      </w:r>
      <w:r w:rsidRPr="007072FB">
        <w:rPr>
          <w:rFonts w:ascii="Verdana" w:eastAsia="华文细黑" w:hAnsi="Verdana" w:cs="Calibri"/>
          <w:lang w:val="en-GB"/>
        </w:rPr>
        <w:t>30.6%</w:t>
      </w:r>
      <w:r w:rsidRPr="007072FB">
        <w:rPr>
          <w:rFonts w:ascii="Verdana" w:eastAsia="华文细黑" w:hAnsi="Verdana" w:cs="Calibri"/>
          <w:lang w:val="en-GB"/>
        </w:rPr>
        <w:t>。税收收入中，增值税</w:t>
      </w:r>
      <w:r w:rsidRPr="007072FB">
        <w:rPr>
          <w:rFonts w:ascii="Verdana" w:eastAsia="华文细黑" w:hAnsi="Verdana" w:cs="Calibri"/>
          <w:lang w:val="en-GB"/>
        </w:rPr>
        <w:t>21.67</w:t>
      </w:r>
      <w:r w:rsidRPr="007072FB">
        <w:rPr>
          <w:rFonts w:ascii="Verdana" w:eastAsia="华文细黑" w:hAnsi="Verdana" w:cs="Calibri"/>
          <w:lang w:val="en-GB"/>
        </w:rPr>
        <w:t>亿元，增长</w:t>
      </w:r>
      <w:r w:rsidRPr="007072FB">
        <w:rPr>
          <w:rFonts w:ascii="Verdana" w:eastAsia="华文细黑" w:hAnsi="Verdana" w:cs="Calibri"/>
          <w:lang w:val="en-GB"/>
        </w:rPr>
        <w:t>32.8%</w:t>
      </w:r>
      <w:r w:rsidRPr="007072FB">
        <w:rPr>
          <w:rFonts w:ascii="Verdana" w:eastAsia="华文细黑" w:hAnsi="Verdana" w:cs="Calibri"/>
          <w:lang w:val="en-GB"/>
        </w:rPr>
        <w:t>；企业所得税</w:t>
      </w:r>
      <w:r w:rsidRPr="007072FB">
        <w:rPr>
          <w:rFonts w:ascii="Verdana" w:eastAsia="华文细黑" w:hAnsi="Verdana" w:cs="Calibri"/>
          <w:lang w:val="en-GB"/>
        </w:rPr>
        <w:t>18.37</w:t>
      </w:r>
      <w:r w:rsidRPr="007072FB">
        <w:rPr>
          <w:rFonts w:ascii="Verdana" w:eastAsia="华文细黑" w:hAnsi="Verdana" w:cs="Calibri"/>
          <w:lang w:val="en-GB"/>
        </w:rPr>
        <w:t>亿元，增长</w:t>
      </w:r>
      <w:r w:rsidRPr="007072FB">
        <w:rPr>
          <w:rFonts w:ascii="Verdana" w:eastAsia="华文细黑" w:hAnsi="Verdana" w:cs="Calibri"/>
          <w:lang w:val="en-GB"/>
        </w:rPr>
        <w:t>44.3%</w:t>
      </w:r>
      <w:r w:rsidRPr="007072FB">
        <w:rPr>
          <w:rFonts w:ascii="Verdana" w:eastAsia="华文细黑" w:hAnsi="Verdana" w:cs="Calibri"/>
          <w:lang w:val="en-GB"/>
        </w:rPr>
        <w:t>；土地增值税</w:t>
      </w:r>
      <w:r w:rsidRPr="007072FB">
        <w:rPr>
          <w:rFonts w:ascii="Verdana" w:eastAsia="华文细黑" w:hAnsi="Verdana" w:cs="Calibri"/>
          <w:lang w:val="en-GB"/>
        </w:rPr>
        <w:t>15.98</w:t>
      </w:r>
      <w:r w:rsidRPr="007072FB">
        <w:rPr>
          <w:rFonts w:ascii="Verdana" w:eastAsia="华文细黑" w:hAnsi="Verdana" w:cs="Calibri"/>
          <w:lang w:val="en-GB"/>
        </w:rPr>
        <w:t>亿元，增长</w:t>
      </w:r>
      <w:r w:rsidRPr="007072FB">
        <w:rPr>
          <w:rFonts w:ascii="Verdana" w:eastAsia="华文细黑" w:hAnsi="Verdana" w:cs="Calibri"/>
          <w:lang w:val="en-GB"/>
        </w:rPr>
        <w:t>10.3%</w:t>
      </w:r>
      <w:r w:rsidRPr="007072FB">
        <w:rPr>
          <w:rFonts w:ascii="Verdana" w:eastAsia="华文细黑" w:hAnsi="Verdana" w:cs="Calibri"/>
          <w:lang w:val="en-GB"/>
        </w:rPr>
        <w:t>；契税</w:t>
      </w:r>
      <w:r w:rsidRPr="007072FB">
        <w:rPr>
          <w:rFonts w:ascii="Verdana" w:eastAsia="华文细黑" w:hAnsi="Verdana" w:cs="Calibri"/>
          <w:lang w:val="en-GB"/>
        </w:rPr>
        <w:t>5.25</w:t>
      </w:r>
      <w:r w:rsidRPr="007072FB">
        <w:rPr>
          <w:rFonts w:ascii="Verdana" w:eastAsia="华文细黑" w:hAnsi="Verdana" w:cs="Calibri"/>
          <w:lang w:val="en-GB"/>
        </w:rPr>
        <w:t>亿元，增长</w:t>
      </w:r>
      <w:r w:rsidRPr="007072FB">
        <w:rPr>
          <w:rFonts w:ascii="Verdana" w:eastAsia="华文细黑" w:hAnsi="Verdana" w:cs="Calibri"/>
          <w:lang w:val="en-GB"/>
        </w:rPr>
        <w:t>20.3%</w:t>
      </w:r>
      <w:r w:rsidRPr="007072FB">
        <w:rPr>
          <w:rFonts w:ascii="Verdana" w:eastAsia="华文细黑" w:hAnsi="Verdana" w:cs="Calibri"/>
          <w:lang w:val="en-GB"/>
        </w:rPr>
        <w:t>；房产税</w:t>
      </w:r>
      <w:r w:rsidRPr="007072FB">
        <w:rPr>
          <w:rFonts w:ascii="Verdana" w:eastAsia="华文细黑" w:hAnsi="Verdana" w:cs="Calibri"/>
          <w:lang w:val="en-GB"/>
        </w:rPr>
        <w:t>6.68</w:t>
      </w:r>
      <w:r w:rsidRPr="007072FB">
        <w:rPr>
          <w:rFonts w:ascii="Verdana" w:eastAsia="华文细黑" w:hAnsi="Verdana" w:cs="Calibri"/>
          <w:lang w:val="en-GB"/>
        </w:rPr>
        <w:t>亿元，增长</w:t>
      </w:r>
      <w:r w:rsidRPr="007072FB">
        <w:rPr>
          <w:rFonts w:ascii="Verdana" w:eastAsia="华文细黑" w:hAnsi="Verdana" w:cs="Calibri"/>
          <w:lang w:val="en-GB"/>
        </w:rPr>
        <w:t>58.7%</w:t>
      </w:r>
      <w:r w:rsidRPr="007072FB">
        <w:rPr>
          <w:rFonts w:ascii="Verdana" w:eastAsia="华文细黑" w:hAnsi="Verdana" w:cs="Calibri"/>
          <w:lang w:val="en-GB"/>
        </w:rPr>
        <w:t>；城镇土地使用税</w:t>
      </w:r>
      <w:r w:rsidRPr="007072FB">
        <w:rPr>
          <w:rFonts w:ascii="Verdana" w:eastAsia="华文细黑" w:hAnsi="Verdana" w:cs="Calibri"/>
          <w:lang w:val="en-GB"/>
        </w:rPr>
        <w:t>3.39</w:t>
      </w:r>
      <w:r w:rsidRPr="007072FB">
        <w:rPr>
          <w:rFonts w:ascii="Verdana" w:eastAsia="华文细黑" w:hAnsi="Verdana" w:cs="Calibri"/>
          <w:lang w:val="en-GB"/>
        </w:rPr>
        <w:t>亿元，增长</w:t>
      </w:r>
      <w:r w:rsidRPr="007072FB">
        <w:rPr>
          <w:rFonts w:ascii="Verdana" w:eastAsia="华文细黑" w:hAnsi="Verdana" w:cs="Calibri"/>
          <w:lang w:val="en-GB"/>
        </w:rPr>
        <w:t>28.9%</w:t>
      </w:r>
      <w:r w:rsidRPr="007072FB">
        <w:rPr>
          <w:rFonts w:ascii="Verdana" w:eastAsia="华文细黑" w:hAnsi="Verdana" w:cs="Calibri"/>
          <w:lang w:val="en-GB"/>
        </w:rPr>
        <w:t>；城市维护建设税</w:t>
      </w:r>
      <w:r w:rsidRPr="007072FB">
        <w:rPr>
          <w:rFonts w:ascii="Verdana" w:eastAsia="华文细黑" w:hAnsi="Verdana" w:cs="Calibri"/>
          <w:lang w:val="en-GB"/>
        </w:rPr>
        <w:t>4.00</w:t>
      </w:r>
      <w:r w:rsidRPr="007072FB">
        <w:rPr>
          <w:rFonts w:ascii="Verdana" w:eastAsia="华文细黑" w:hAnsi="Verdana" w:cs="Calibri"/>
          <w:lang w:val="en-GB"/>
        </w:rPr>
        <w:t>亿元，增长</w:t>
      </w:r>
      <w:r w:rsidRPr="007072FB">
        <w:rPr>
          <w:rFonts w:ascii="Verdana" w:eastAsia="华文细黑" w:hAnsi="Verdana" w:cs="Calibri"/>
          <w:lang w:val="en-GB"/>
        </w:rPr>
        <w:t>41.1%</w:t>
      </w:r>
      <w:r w:rsidRPr="007072FB">
        <w:rPr>
          <w:rFonts w:ascii="Verdana" w:eastAsia="华文细黑" w:hAnsi="Verdana" w:cs="Calibri"/>
          <w:lang w:val="en-GB"/>
        </w:rPr>
        <w:t>；个人所得税</w:t>
      </w:r>
      <w:r w:rsidRPr="007072FB">
        <w:rPr>
          <w:rFonts w:ascii="Verdana" w:eastAsia="华文细黑" w:hAnsi="Verdana" w:cs="Calibri"/>
          <w:lang w:val="en-GB"/>
        </w:rPr>
        <w:t>5.97</w:t>
      </w:r>
      <w:r w:rsidRPr="007072FB">
        <w:rPr>
          <w:rFonts w:ascii="Verdana" w:eastAsia="华文细黑" w:hAnsi="Verdana" w:cs="Calibri"/>
          <w:lang w:val="en-GB"/>
        </w:rPr>
        <w:t>亿元，增长</w:t>
      </w:r>
      <w:r w:rsidRPr="007072FB">
        <w:rPr>
          <w:rFonts w:ascii="Verdana" w:eastAsia="华文细黑" w:hAnsi="Verdana" w:cs="Calibri"/>
          <w:lang w:val="en-GB"/>
        </w:rPr>
        <w:t>189.6%</w:t>
      </w:r>
      <w:r w:rsidRPr="007072FB">
        <w:rPr>
          <w:rFonts w:ascii="Verdana" w:eastAsia="华文细黑" w:hAnsi="Verdana" w:cs="Calibri"/>
          <w:lang w:val="en-GB"/>
        </w:rPr>
        <w:t>。全市地方一般公共预算支出</w:t>
      </w:r>
      <w:r w:rsidRPr="007072FB">
        <w:rPr>
          <w:rFonts w:ascii="Verdana" w:eastAsia="华文细黑" w:hAnsi="Verdana" w:cs="Calibri"/>
          <w:lang w:val="en-GB"/>
        </w:rPr>
        <w:t>202.38</w:t>
      </w:r>
      <w:r w:rsidRPr="007072FB">
        <w:rPr>
          <w:rFonts w:ascii="Verdana" w:eastAsia="华文细黑" w:hAnsi="Verdana" w:cs="Calibri"/>
          <w:lang w:val="en-GB"/>
        </w:rPr>
        <w:t>亿元，比上年增长</w:t>
      </w:r>
      <w:r w:rsidRPr="007072FB">
        <w:rPr>
          <w:rFonts w:ascii="Verdana" w:eastAsia="华文细黑" w:hAnsi="Verdana" w:cs="Calibri"/>
          <w:lang w:val="en-GB"/>
        </w:rPr>
        <w:t>1.4%</w:t>
      </w:r>
      <w:r w:rsidRPr="007072FB">
        <w:rPr>
          <w:rFonts w:ascii="Verdana" w:eastAsia="华文细黑" w:hAnsi="Verdana" w:cs="Calibri"/>
          <w:lang w:val="en-GB"/>
        </w:rPr>
        <w:t>。其中，卫生健康支出</w:t>
      </w:r>
      <w:r w:rsidRPr="007072FB">
        <w:rPr>
          <w:rFonts w:ascii="Verdana" w:eastAsia="华文细黑" w:hAnsi="Verdana" w:cs="Calibri"/>
          <w:lang w:val="en-GB"/>
        </w:rPr>
        <w:t>12.12</w:t>
      </w:r>
      <w:r w:rsidRPr="007072FB">
        <w:rPr>
          <w:rFonts w:ascii="Verdana" w:eastAsia="华文细黑" w:hAnsi="Verdana" w:cs="Calibri"/>
          <w:lang w:val="en-GB"/>
        </w:rPr>
        <w:t>亿元，下降</w:t>
      </w:r>
      <w:r w:rsidRPr="007072FB">
        <w:rPr>
          <w:rFonts w:ascii="Verdana" w:eastAsia="华文细黑" w:hAnsi="Verdana" w:cs="Calibri"/>
          <w:lang w:val="en-GB"/>
        </w:rPr>
        <w:t>32.0%</w:t>
      </w:r>
      <w:r w:rsidRPr="007072FB">
        <w:rPr>
          <w:rFonts w:ascii="Verdana" w:eastAsia="华文细黑" w:hAnsi="Verdana" w:cs="Calibri"/>
          <w:lang w:val="en-GB"/>
        </w:rPr>
        <w:t>；教育支出</w:t>
      </w:r>
      <w:r w:rsidRPr="007072FB">
        <w:rPr>
          <w:rFonts w:ascii="Verdana" w:eastAsia="华文细黑" w:hAnsi="Verdana" w:cs="Calibri"/>
          <w:lang w:val="en-GB"/>
        </w:rPr>
        <w:t>24.23</w:t>
      </w:r>
      <w:r w:rsidRPr="007072FB">
        <w:rPr>
          <w:rFonts w:ascii="Verdana" w:eastAsia="华文细黑" w:hAnsi="Verdana" w:cs="Calibri"/>
          <w:lang w:val="en-GB"/>
        </w:rPr>
        <w:t>亿元，增长</w:t>
      </w:r>
      <w:r w:rsidRPr="007072FB">
        <w:rPr>
          <w:rFonts w:ascii="Verdana" w:eastAsia="华文细黑" w:hAnsi="Verdana" w:cs="Calibri"/>
          <w:lang w:val="en-GB"/>
        </w:rPr>
        <w:t>2.2%</w:t>
      </w:r>
      <w:r w:rsidRPr="007072FB">
        <w:rPr>
          <w:rFonts w:ascii="Verdana" w:eastAsia="华文细黑" w:hAnsi="Verdana" w:cs="Calibri"/>
          <w:lang w:val="en-GB"/>
        </w:rPr>
        <w:t>；节能环保支出</w:t>
      </w:r>
      <w:r w:rsidRPr="007072FB">
        <w:rPr>
          <w:rFonts w:ascii="Verdana" w:eastAsia="华文细黑" w:hAnsi="Verdana" w:cs="Calibri"/>
          <w:lang w:val="en-GB"/>
        </w:rPr>
        <w:t>8.58</w:t>
      </w:r>
      <w:r w:rsidRPr="007072FB">
        <w:rPr>
          <w:rFonts w:ascii="Verdana" w:eastAsia="华文细黑" w:hAnsi="Verdana" w:cs="Calibri"/>
          <w:lang w:val="en-GB"/>
        </w:rPr>
        <w:t>亿元，增长</w:t>
      </w:r>
      <w:r w:rsidRPr="007072FB">
        <w:rPr>
          <w:rFonts w:ascii="Verdana" w:eastAsia="华文细黑" w:hAnsi="Verdana" w:cs="Calibri"/>
          <w:lang w:val="en-GB"/>
        </w:rPr>
        <w:t>0.4%</w:t>
      </w:r>
      <w:r w:rsidRPr="007072FB">
        <w:rPr>
          <w:rFonts w:ascii="Verdana" w:eastAsia="华文细黑" w:hAnsi="Verdana" w:cs="Calibri"/>
          <w:lang w:val="en-GB"/>
        </w:rPr>
        <w:t>；城乡社区支出</w:t>
      </w:r>
      <w:r w:rsidRPr="007072FB">
        <w:rPr>
          <w:rFonts w:ascii="Verdana" w:eastAsia="华文细黑" w:hAnsi="Verdana" w:cs="Calibri"/>
          <w:lang w:val="en-GB"/>
        </w:rPr>
        <w:t>43.19</w:t>
      </w:r>
      <w:r w:rsidRPr="007072FB">
        <w:rPr>
          <w:rFonts w:ascii="Verdana" w:eastAsia="华文细黑" w:hAnsi="Verdana" w:cs="Calibri"/>
          <w:lang w:val="en-GB"/>
        </w:rPr>
        <w:t>亿元，增长</w:t>
      </w:r>
      <w:r w:rsidRPr="007072FB">
        <w:rPr>
          <w:rFonts w:ascii="Verdana" w:eastAsia="华文细黑" w:hAnsi="Verdana" w:cs="Calibri"/>
          <w:lang w:val="en-GB"/>
        </w:rPr>
        <w:t>34.5%</w:t>
      </w:r>
      <w:r w:rsidRPr="007072FB">
        <w:rPr>
          <w:rFonts w:ascii="Verdana" w:eastAsia="华文细黑" w:hAnsi="Verdana" w:cs="Calibri"/>
          <w:lang w:val="en-GB"/>
        </w:rPr>
        <w:t>。</w:t>
      </w:r>
    </w:p>
    <w:p w14:paraId="2B5CEA72" w14:textId="1C4349BF" w:rsidR="000D1B9A" w:rsidRPr="007072FB" w:rsidRDefault="00000000">
      <w:pPr>
        <w:spacing w:before="120" w:after="120" w:line="360" w:lineRule="auto"/>
        <w:ind w:firstLine="454"/>
        <w:jc w:val="both"/>
        <w:rPr>
          <w:rFonts w:ascii="Verdana" w:eastAsia="华文细黑" w:hAnsi="Verdana" w:cs="Calibri"/>
          <w:lang w:val="en-GB"/>
        </w:rPr>
      </w:pPr>
      <w:r w:rsidRPr="007072FB">
        <w:rPr>
          <w:rFonts w:ascii="Verdana" w:eastAsia="华文细黑" w:hAnsi="Verdana" w:cs="Calibri"/>
          <w:lang w:val="en-GB"/>
        </w:rPr>
        <w:t>2022</w:t>
      </w:r>
      <w:r w:rsidRPr="007072FB">
        <w:rPr>
          <w:rFonts w:ascii="Verdana" w:eastAsia="华文细黑" w:hAnsi="Verdana" w:cs="Calibri"/>
          <w:lang w:val="en-GB"/>
        </w:rPr>
        <w:t>年，全市实现地方一般公共预算收入</w:t>
      </w:r>
      <w:r w:rsidRPr="007072FB">
        <w:rPr>
          <w:rFonts w:ascii="Verdana" w:eastAsia="华文细黑" w:hAnsi="Verdana" w:cs="Calibri"/>
          <w:lang w:val="en-GB"/>
        </w:rPr>
        <w:t>98.02</w:t>
      </w:r>
      <w:r w:rsidRPr="007072FB">
        <w:rPr>
          <w:rFonts w:ascii="Verdana" w:eastAsia="华文细黑" w:hAnsi="Verdana" w:cs="Calibri"/>
          <w:lang w:val="en-GB"/>
        </w:rPr>
        <w:t>亿元，比上年下降（同口径计算，下同）</w:t>
      </w:r>
      <w:r w:rsidRPr="007072FB">
        <w:rPr>
          <w:rFonts w:ascii="Verdana" w:eastAsia="华文细黑" w:hAnsi="Verdana" w:cs="Calibri"/>
          <w:lang w:val="en-GB"/>
        </w:rPr>
        <w:t>14.1%</w:t>
      </w:r>
      <w:r w:rsidRPr="007072FB">
        <w:rPr>
          <w:rFonts w:ascii="Verdana" w:eastAsia="华文细黑" w:hAnsi="Verdana" w:cs="Calibri"/>
          <w:lang w:val="en-GB"/>
        </w:rPr>
        <w:t>。其中，税收收入</w:t>
      </w:r>
      <w:r w:rsidRPr="007072FB">
        <w:rPr>
          <w:rFonts w:ascii="Verdana" w:eastAsia="华文细黑" w:hAnsi="Verdana" w:cs="Calibri"/>
          <w:lang w:val="en-GB"/>
        </w:rPr>
        <w:t>59.74</w:t>
      </w:r>
      <w:r w:rsidRPr="007072FB">
        <w:rPr>
          <w:rFonts w:ascii="Verdana" w:eastAsia="华文细黑" w:hAnsi="Verdana" w:cs="Calibri"/>
          <w:lang w:val="en-GB"/>
        </w:rPr>
        <w:t>亿元，下降</w:t>
      </w:r>
      <w:r w:rsidRPr="007072FB">
        <w:rPr>
          <w:rFonts w:ascii="Verdana" w:eastAsia="华文细黑" w:hAnsi="Verdana" w:cs="Calibri"/>
          <w:lang w:val="en-GB"/>
        </w:rPr>
        <w:t>25.3%</w:t>
      </w:r>
      <w:r w:rsidRPr="007072FB">
        <w:rPr>
          <w:rFonts w:ascii="Verdana" w:eastAsia="华文细黑" w:hAnsi="Verdana" w:cs="Calibri"/>
          <w:lang w:val="en-GB"/>
        </w:rPr>
        <w:t>；非税收收入</w:t>
      </w:r>
      <w:r w:rsidRPr="007072FB">
        <w:rPr>
          <w:rFonts w:ascii="Verdana" w:eastAsia="华文细黑" w:hAnsi="Verdana" w:cs="Calibri"/>
          <w:lang w:val="en-GB"/>
        </w:rPr>
        <w:t>38.27</w:t>
      </w:r>
      <w:r w:rsidRPr="007072FB">
        <w:rPr>
          <w:rFonts w:ascii="Verdana" w:eastAsia="华文细黑" w:hAnsi="Verdana" w:cs="Calibri"/>
          <w:lang w:val="en-GB"/>
        </w:rPr>
        <w:t>亿元，增长</w:t>
      </w:r>
      <w:r w:rsidRPr="007072FB">
        <w:rPr>
          <w:rFonts w:ascii="Verdana" w:eastAsia="华文细黑" w:hAnsi="Verdana" w:cs="Calibri"/>
          <w:lang w:val="en-GB"/>
        </w:rPr>
        <w:t>14.0%</w:t>
      </w:r>
      <w:r w:rsidRPr="007072FB">
        <w:rPr>
          <w:rFonts w:ascii="Verdana" w:eastAsia="华文细黑" w:hAnsi="Verdana" w:cs="Calibri"/>
          <w:lang w:val="en-GB"/>
        </w:rPr>
        <w:t>。税收收入中，增值税</w:t>
      </w:r>
      <w:r w:rsidRPr="007072FB">
        <w:rPr>
          <w:rFonts w:ascii="Verdana" w:eastAsia="华文细黑" w:hAnsi="Verdana" w:cs="Calibri"/>
          <w:lang w:val="en-GB"/>
        </w:rPr>
        <w:t>8.58</w:t>
      </w:r>
      <w:r w:rsidRPr="007072FB">
        <w:rPr>
          <w:rFonts w:ascii="Verdana" w:eastAsia="华文细黑" w:hAnsi="Verdana" w:cs="Calibri"/>
          <w:lang w:val="en-GB"/>
        </w:rPr>
        <w:t>亿元，下降</w:t>
      </w:r>
      <w:r w:rsidRPr="007072FB">
        <w:rPr>
          <w:rFonts w:ascii="Verdana" w:eastAsia="华文细黑" w:hAnsi="Verdana" w:cs="Calibri"/>
          <w:lang w:val="en-GB"/>
        </w:rPr>
        <w:t>47.1%</w:t>
      </w:r>
      <w:r w:rsidRPr="007072FB">
        <w:rPr>
          <w:rFonts w:ascii="Verdana" w:eastAsia="华文细黑" w:hAnsi="Verdana" w:cs="Calibri"/>
          <w:lang w:val="en-GB"/>
        </w:rPr>
        <w:t>；企业所得税</w:t>
      </w:r>
      <w:r w:rsidRPr="007072FB">
        <w:rPr>
          <w:rFonts w:ascii="Verdana" w:eastAsia="华文细黑" w:hAnsi="Verdana" w:cs="Calibri"/>
          <w:lang w:val="en-GB"/>
        </w:rPr>
        <w:t>13.73</w:t>
      </w:r>
      <w:r w:rsidRPr="007072FB">
        <w:rPr>
          <w:rFonts w:ascii="Verdana" w:eastAsia="华文细黑" w:hAnsi="Verdana" w:cs="Calibri"/>
          <w:lang w:val="en-GB"/>
        </w:rPr>
        <w:t>亿元，下降</w:t>
      </w:r>
      <w:r w:rsidRPr="007072FB">
        <w:rPr>
          <w:rFonts w:ascii="Verdana" w:eastAsia="华文细黑" w:hAnsi="Verdana" w:cs="Calibri"/>
          <w:lang w:val="en-GB"/>
        </w:rPr>
        <w:t>25.3%</w:t>
      </w:r>
      <w:r w:rsidRPr="007072FB">
        <w:rPr>
          <w:rFonts w:ascii="Verdana" w:eastAsia="华文细黑" w:hAnsi="Verdana" w:cs="Calibri"/>
          <w:lang w:val="en-GB"/>
        </w:rPr>
        <w:t>；土地增值税</w:t>
      </w:r>
      <w:r w:rsidRPr="007072FB">
        <w:rPr>
          <w:rFonts w:ascii="Verdana" w:eastAsia="华文细黑" w:hAnsi="Verdana" w:cs="Calibri"/>
          <w:lang w:val="en-GB"/>
        </w:rPr>
        <w:t>12.37</w:t>
      </w:r>
      <w:r w:rsidRPr="007072FB">
        <w:rPr>
          <w:rFonts w:ascii="Verdana" w:eastAsia="华文细黑" w:hAnsi="Verdana" w:cs="Calibri"/>
          <w:lang w:val="en-GB"/>
        </w:rPr>
        <w:t>亿元，下降</w:t>
      </w:r>
      <w:r w:rsidRPr="007072FB">
        <w:rPr>
          <w:rFonts w:ascii="Verdana" w:eastAsia="华文细黑" w:hAnsi="Verdana" w:cs="Calibri"/>
          <w:lang w:val="en-GB"/>
        </w:rPr>
        <w:t>22.6%</w:t>
      </w:r>
      <w:r w:rsidRPr="007072FB">
        <w:rPr>
          <w:rFonts w:ascii="Verdana" w:eastAsia="华文细黑" w:hAnsi="Verdana" w:cs="Calibri"/>
          <w:lang w:val="en-GB"/>
        </w:rPr>
        <w:t>；契税</w:t>
      </w:r>
      <w:r w:rsidRPr="007072FB">
        <w:rPr>
          <w:rFonts w:ascii="Verdana" w:eastAsia="华文细黑" w:hAnsi="Verdana" w:cs="Calibri"/>
          <w:lang w:val="en-GB"/>
        </w:rPr>
        <w:t>3.36</w:t>
      </w:r>
      <w:r w:rsidRPr="007072FB">
        <w:rPr>
          <w:rFonts w:ascii="Verdana" w:eastAsia="华文细黑" w:hAnsi="Verdana" w:cs="Calibri"/>
          <w:lang w:val="en-GB"/>
        </w:rPr>
        <w:t>亿元，下降</w:t>
      </w:r>
      <w:r w:rsidRPr="007072FB">
        <w:rPr>
          <w:rFonts w:ascii="Verdana" w:eastAsia="华文细黑" w:hAnsi="Verdana" w:cs="Calibri"/>
          <w:lang w:val="en-GB"/>
        </w:rPr>
        <w:t>36.0%</w:t>
      </w:r>
      <w:r w:rsidRPr="007072FB">
        <w:rPr>
          <w:rFonts w:ascii="Verdana" w:eastAsia="华文细黑" w:hAnsi="Verdana" w:cs="Calibri"/>
          <w:lang w:val="en-GB"/>
        </w:rPr>
        <w:t>；房产税</w:t>
      </w:r>
      <w:r w:rsidRPr="007072FB">
        <w:rPr>
          <w:rFonts w:ascii="Verdana" w:eastAsia="华文细黑" w:hAnsi="Verdana" w:cs="Calibri"/>
          <w:lang w:val="en-GB"/>
        </w:rPr>
        <w:t>5.25</w:t>
      </w:r>
      <w:r w:rsidRPr="007072FB">
        <w:rPr>
          <w:rFonts w:ascii="Verdana" w:eastAsia="华文细黑" w:hAnsi="Verdana" w:cs="Calibri"/>
          <w:lang w:val="en-GB"/>
        </w:rPr>
        <w:t>亿元，下降</w:t>
      </w:r>
      <w:r w:rsidRPr="007072FB">
        <w:rPr>
          <w:rFonts w:ascii="Verdana" w:eastAsia="华文细黑" w:hAnsi="Verdana" w:cs="Calibri"/>
          <w:lang w:val="en-GB"/>
        </w:rPr>
        <w:t>21.3%</w:t>
      </w:r>
      <w:r w:rsidRPr="007072FB">
        <w:rPr>
          <w:rFonts w:ascii="Verdana" w:eastAsia="华文细黑" w:hAnsi="Verdana" w:cs="Calibri"/>
          <w:lang w:val="en-GB"/>
        </w:rPr>
        <w:t>；城镇土地使用税</w:t>
      </w:r>
      <w:r w:rsidRPr="007072FB">
        <w:rPr>
          <w:rFonts w:ascii="Verdana" w:eastAsia="华文细黑" w:hAnsi="Verdana" w:cs="Calibri"/>
          <w:lang w:val="en-GB"/>
        </w:rPr>
        <w:t>3.03</w:t>
      </w:r>
      <w:r w:rsidRPr="007072FB">
        <w:rPr>
          <w:rFonts w:ascii="Verdana" w:eastAsia="华文细黑" w:hAnsi="Verdana" w:cs="Calibri"/>
          <w:lang w:val="en-GB"/>
        </w:rPr>
        <w:t>亿元，下降</w:t>
      </w:r>
      <w:r w:rsidRPr="007072FB">
        <w:rPr>
          <w:rFonts w:ascii="Verdana" w:eastAsia="华文细黑" w:hAnsi="Verdana" w:cs="Calibri"/>
          <w:lang w:val="en-GB"/>
        </w:rPr>
        <w:t>10.6%</w:t>
      </w:r>
      <w:r w:rsidRPr="007072FB">
        <w:rPr>
          <w:rFonts w:ascii="Verdana" w:eastAsia="华文细黑" w:hAnsi="Verdana" w:cs="Calibri"/>
          <w:lang w:val="en-GB"/>
        </w:rPr>
        <w:t>；城市维护建设税</w:t>
      </w:r>
      <w:r w:rsidRPr="007072FB">
        <w:rPr>
          <w:rFonts w:ascii="Verdana" w:eastAsia="华文细黑" w:hAnsi="Verdana" w:cs="Calibri"/>
          <w:lang w:val="en-GB"/>
        </w:rPr>
        <w:t>2.96</w:t>
      </w:r>
      <w:r w:rsidRPr="007072FB">
        <w:rPr>
          <w:rFonts w:ascii="Verdana" w:eastAsia="华文细黑" w:hAnsi="Verdana" w:cs="Calibri"/>
          <w:lang w:val="en-GB"/>
        </w:rPr>
        <w:t>亿元，下降</w:t>
      </w:r>
      <w:r w:rsidRPr="007072FB">
        <w:rPr>
          <w:rFonts w:ascii="Verdana" w:eastAsia="华文细黑" w:hAnsi="Verdana" w:cs="Calibri"/>
          <w:lang w:val="en-GB"/>
        </w:rPr>
        <w:t>26.0%</w:t>
      </w:r>
      <w:r w:rsidRPr="007072FB">
        <w:rPr>
          <w:rFonts w:ascii="Verdana" w:eastAsia="华文细黑" w:hAnsi="Verdana" w:cs="Calibri"/>
          <w:lang w:val="en-GB"/>
        </w:rPr>
        <w:t>；个人所得税</w:t>
      </w:r>
      <w:r w:rsidRPr="007072FB">
        <w:rPr>
          <w:rFonts w:ascii="Verdana" w:eastAsia="华文细黑" w:hAnsi="Verdana" w:cs="Calibri"/>
          <w:lang w:val="en-GB"/>
        </w:rPr>
        <w:t>6.92</w:t>
      </w:r>
      <w:r w:rsidRPr="007072FB">
        <w:rPr>
          <w:rFonts w:ascii="Verdana" w:eastAsia="华文细黑" w:hAnsi="Verdana" w:cs="Calibri"/>
          <w:lang w:val="en-GB"/>
        </w:rPr>
        <w:t>亿元，增长</w:t>
      </w:r>
      <w:r w:rsidRPr="007072FB">
        <w:rPr>
          <w:rFonts w:ascii="Verdana" w:eastAsia="华文细黑" w:hAnsi="Verdana" w:cs="Calibri"/>
          <w:lang w:val="en-GB"/>
        </w:rPr>
        <w:t>16.0%</w:t>
      </w:r>
      <w:r w:rsidRPr="007072FB">
        <w:rPr>
          <w:rFonts w:ascii="Verdana" w:eastAsia="华文细黑" w:hAnsi="Verdana" w:cs="Calibri"/>
          <w:lang w:val="en-GB"/>
        </w:rPr>
        <w:t>。全市地方一般公共预算支出</w:t>
      </w:r>
      <w:r w:rsidRPr="007072FB">
        <w:rPr>
          <w:rFonts w:ascii="Verdana" w:eastAsia="华文细黑" w:hAnsi="Verdana" w:cs="Calibri"/>
          <w:lang w:val="en-GB"/>
        </w:rPr>
        <w:t>228.95</w:t>
      </w:r>
      <w:r w:rsidRPr="007072FB">
        <w:rPr>
          <w:rFonts w:ascii="Verdana" w:eastAsia="华文细黑" w:hAnsi="Verdana" w:cs="Calibri"/>
          <w:lang w:val="en-GB"/>
        </w:rPr>
        <w:t>亿元，比上年</w:t>
      </w:r>
      <w:r w:rsidRPr="007072FB">
        <w:rPr>
          <w:rFonts w:ascii="Verdana" w:eastAsia="华文细黑" w:hAnsi="Verdana" w:cs="Calibri"/>
          <w:lang w:val="en-GB"/>
        </w:rPr>
        <w:lastRenderedPageBreak/>
        <w:t>增长</w:t>
      </w:r>
      <w:r w:rsidRPr="007072FB">
        <w:rPr>
          <w:rFonts w:ascii="Verdana" w:eastAsia="华文细黑" w:hAnsi="Verdana" w:cs="Calibri"/>
          <w:lang w:val="en-GB"/>
        </w:rPr>
        <w:t>13.1%</w:t>
      </w:r>
      <w:r w:rsidRPr="007072FB">
        <w:rPr>
          <w:rFonts w:ascii="Verdana" w:eastAsia="华文细黑" w:hAnsi="Verdana" w:cs="Calibri"/>
          <w:lang w:val="en-GB"/>
        </w:rPr>
        <w:t>。其中，卫生健康支出</w:t>
      </w:r>
      <w:r w:rsidRPr="007072FB">
        <w:rPr>
          <w:rFonts w:ascii="Verdana" w:eastAsia="华文细黑" w:hAnsi="Verdana" w:cs="Calibri"/>
          <w:lang w:val="en-GB"/>
        </w:rPr>
        <w:t>34.34</w:t>
      </w:r>
      <w:r w:rsidRPr="007072FB">
        <w:rPr>
          <w:rFonts w:ascii="Verdana" w:eastAsia="华文细黑" w:hAnsi="Verdana" w:cs="Calibri"/>
          <w:lang w:val="en-GB"/>
        </w:rPr>
        <w:t>亿元，增长</w:t>
      </w:r>
      <w:r w:rsidRPr="007072FB">
        <w:rPr>
          <w:rFonts w:ascii="Verdana" w:eastAsia="华文细黑" w:hAnsi="Verdana" w:cs="Calibri"/>
          <w:lang w:val="en-GB"/>
        </w:rPr>
        <w:t>1.8</w:t>
      </w:r>
      <w:r w:rsidRPr="007072FB">
        <w:rPr>
          <w:rFonts w:ascii="Verdana" w:eastAsia="华文细黑" w:hAnsi="Verdana" w:cs="Calibri"/>
          <w:lang w:val="en-GB"/>
        </w:rPr>
        <w:t>倍；教育支出</w:t>
      </w:r>
      <w:r w:rsidRPr="007072FB">
        <w:rPr>
          <w:rFonts w:ascii="Verdana" w:eastAsia="华文细黑" w:hAnsi="Verdana" w:cs="Calibri"/>
          <w:lang w:val="en-GB"/>
        </w:rPr>
        <w:t>24.68</w:t>
      </w:r>
      <w:r w:rsidRPr="007072FB">
        <w:rPr>
          <w:rFonts w:ascii="Verdana" w:eastAsia="华文细黑" w:hAnsi="Verdana" w:cs="Calibri"/>
          <w:lang w:val="en-GB"/>
        </w:rPr>
        <w:t>亿元，增长</w:t>
      </w:r>
      <w:r w:rsidRPr="007072FB">
        <w:rPr>
          <w:rFonts w:ascii="Verdana" w:eastAsia="华文细黑" w:hAnsi="Verdana" w:cs="Calibri"/>
          <w:lang w:val="en-GB"/>
        </w:rPr>
        <w:t>1.8%</w:t>
      </w:r>
      <w:r w:rsidRPr="007072FB">
        <w:rPr>
          <w:rFonts w:ascii="Verdana" w:eastAsia="华文细黑" w:hAnsi="Verdana" w:cs="Calibri"/>
          <w:lang w:val="en-GB"/>
        </w:rPr>
        <w:t>；节能环保支出</w:t>
      </w:r>
      <w:r w:rsidRPr="007072FB">
        <w:rPr>
          <w:rFonts w:ascii="Verdana" w:eastAsia="华文细黑" w:hAnsi="Verdana" w:cs="Calibri"/>
          <w:lang w:val="en-GB"/>
        </w:rPr>
        <w:t>7.44</w:t>
      </w:r>
      <w:r w:rsidRPr="007072FB">
        <w:rPr>
          <w:rFonts w:ascii="Verdana" w:eastAsia="华文细黑" w:hAnsi="Verdana" w:cs="Calibri"/>
          <w:lang w:val="en-GB"/>
        </w:rPr>
        <w:t>亿元，下降</w:t>
      </w:r>
      <w:r w:rsidRPr="007072FB">
        <w:rPr>
          <w:rFonts w:ascii="Verdana" w:eastAsia="华文细黑" w:hAnsi="Verdana" w:cs="Calibri"/>
          <w:lang w:val="en-GB"/>
        </w:rPr>
        <w:t>13.2%</w:t>
      </w:r>
      <w:r w:rsidRPr="007072FB">
        <w:rPr>
          <w:rFonts w:ascii="Verdana" w:eastAsia="华文细黑" w:hAnsi="Verdana" w:cs="Calibri"/>
          <w:lang w:val="en-GB"/>
        </w:rPr>
        <w:t>；社会保障和就业支出</w:t>
      </w:r>
      <w:r w:rsidRPr="007072FB">
        <w:rPr>
          <w:rFonts w:ascii="Verdana" w:eastAsia="华文细黑" w:hAnsi="Verdana" w:cs="Calibri"/>
          <w:lang w:val="en-GB"/>
        </w:rPr>
        <w:t>14.72</w:t>
      </w:r>
      <w:r w:rsidRPr="007072FB">
        <w:rPr>
          <w:rFonts w:ascii="Verdana" w:eastAsia="华文细黑" w:hAnsi="Verdana" w:cs="Calibri"/>
          <w:lang w:val="en-GB"/>
        </w:rPr>
        <w:t>亿元，增长</w:t>
      </w:r>
      <w:r w:rsidRPr="007072FB">
        <w:rPr>
          <w:rFonts w:ascii="Verdana" w:eastAsia="华文细黑" w:hAnsi="Verdana" w:cs="Calibri"/>
          <w:lang w:val="en-GB"/>
        </w:rPr>
        <w:t>10.2%</w:t>
      </w:r>
      <w:r w:rsidRPr="007072FB">
        <w:rPr>
          <w:rFonts w:ascii="Verdana" w:eastAsia="华文细黑" w:hAnsi="Verdana" w:cs="Calibri"/>
          <w:lang w:val="en-GB"/>
        </w:rPr>
        <w:t>；城乡社区支出</w:t>
      </w:r>
      <w:r w:rsidRPr="007072FB">
        <w:rPr>
          <w:rFonts w:ascii="Verdana" w:eastAsia="华文细黑" w:hAnsi="Verdana" w:cs="Calibri"/>
          <w:lang w:val="en-GB"/>
        </w:rPr>
        <w:t>43.99</w:t>
      </w:r>
      <w:r w:rsidRPr="007072FB">
        <w:rPr>
          <w:rFonts w:ascii="Verdana" w:eastAsia="华文细黑" w:hAnsi="Verdana" w:cs="Calibri"/>
          <w:lang w:val="en-GB"/>
        </w:rPr>
        <w:t>亿元，增长</w:t>
      </w:r>
      <w:r w:rsidRPr="007072FB">
        <w:rPr>
          <w:rFonts w:ascii="Verdana" w:eastAsia="华文细黑" w:hAnsi="Verdana" w:cs="Calibri"/>
          <w:lang w:val="en-GB"/>
        </w:rPr>
        <w:t>1.8%</w:t>
      </w:r>
      <w:r w:rsidRPr="007072FB">
        <w:rPr>
          <w:rFonts w:ascii="Verdana" w:eastAsia="华文细黑" w:hAnsi="Verdana" w:cs="Calibri"/>
          <w:lang w:val="en-GB"/>
        </w:rPr>
        <w:t>。</w:t>
      </w:r>
    </w:p>
    <w:p w14:paraId="5C70E38D" w14:textId="23AB6C28" w:rsidR="00F43EC7" w:rsidRPr="007072FB" w:rsidRDefault="00F43EC7" w:rsidP="003C3C26">
      <w:pPr>
        <w:spacing w:before="120" w:line="360" w:lineRule="auto"/>
        <w:ind w:firstLineChars="200" w:firstLine="480"/>
        <w:jc w:val="both"/>
        <w:rPr>
          <w:rFonts w:ascii="Verdana" w:eastAsia="华文细黑" w:hAnsi="Verdana" w:cs="楷体"/>
          <w:color w:val="000000" w:themeColor="text1"/>
          <w:lang w:val="en-GB"/>
        </w:rPr>
      </w:pPr>
      <w:r w:rsidRPr="007072FB">
        <w:rPr>
          <w:rFonts w:ascii="Verdana" w:eastAsia="华文细黑" w:hAnsi="Verdana" w:cs="楷体"/>
          <w:color w:val="000000" w:themeColor="text1"/>
          <w:lang w:val="en-GB"/>
        </w:rPr>
        <w:t>2023</w:t>
      </w:r>
      <w:r w:rsidRPr="007072FB">
        <w:rPr>
          <w:rFonts w:ascii="Verdana" w:eastAsia="华文细黑" w:hAnsi="Verdana" w:cs="楷体"/>
          <w:color w:val="000000" w:themeColor="text1"/>
          <w:lang w:val="en-GB"/>
        </w:rPr>
        <w:t>年，全市一般公共预算收入</w:t>
      </w:r>
      <w:r w:rsidRPr="007072FB">
        <w:rPr>
          <w:rFonts w:ascii="Verdana" w:eastAsia="华文细黑" w:hAnsi="Verdana" w:cs="楷体"/>
          <w:color w:val="000000" w:themeColor="text1"/>
          <w:lang w:val="en-GB"/>
        </w:rPr>
        <w:t>147.41</w:t>
      </w:r>
      <w:r w:rsidRPr="007072FB">
        <w:rPr>
          <w:rFonts w:ascii="Verdana" w:eastAsia="华文细黑" w:hAnsi="Verdana" w:cs="楷体"/>
          <w:color w:val="000000" w:themeColor="text1"/>
          <w:lang w:val="en-GB"/>
        </w:rPr>
        <w:t>亿元，同比增长（按新口径计算，下同）</w:t>
      </w:r>
      <w:r w:rsidRPr="007072FB">
        <w:rPr>
          <w:rFonts w:ascii="Verdana" w:eastAsia="华文细黑" w:hAnsi="Verdana" w:cs="楷体"/>
          <w:color w:val="000000" w:themeColor="text1"/>
          <w:lang w:val="en-GB"/>
        </w:rPr>
        <w:t>23.4%</w:t>
      </w:r>
      <w:r w:rsidRPr="007072FB">
        <w:rPr>
          <w:rFonts w:ascii="Verdana" w:eastAsia="华文细黑" w:hAnsi="Verdana" w:cs="楷体"/>
          <w:color w:val="000000" w:themeColor="text1"/>
          <w:lang w:val="en-GB"/>
        </w:rPr>
        <w:t>。其中，税收收入</w:t>
      </w:r>
      <w:r w:rsidRPr="007072FB">
        <w:rPr>
          <w:rFonts w:ascii="Verdana" w:eastAsia="华文细黑" w:hAnsi="Verdana" w:cs="楷体"/>
          <w:color w:val="000000" w:themeColor="text1"/>
          <w:lang w:val="en-GB"/>
        </w:rPr>
        <w:t>105.96</w:t>
      </w:r>
      <w:r w:rsidRPr="007072FB">
        <w:rPr>
          <w:rFonts w:ascii="Verdana" w:eastAsia="华文细黑" w:hAnsi="Verdana" w:cs="楷体"/>
          <w:color w:val="000000" w:themeColor="text1"/>
          <w:lang w:val="en-GB"/>
        </w:rPr>
        <w:t>亿元，同比增长</w:t>
      </w:r>
      <w:r w:rsidRPr="007072FB">
        <w:rPr>
          <w:rFonts w:ascii="Verdana" w:eastAsia="华文细黑" w:hAnsi="Verdana" w:cs="楷体"/>
          <w:color w:val="000000" w:themeColor="text1"/>
          <w:lang w:val="en-GB"/>
        </w:rPr>
        <w:t>30.6%</w:t>
      </w:r>
      <w:r w:rsidRPr="007072FB">
        <w:rPr>
          <w:rFonts w:ascii="Verdana" w:eastAsia="华文细黑" w:hAnsi="Verdana" w:cs="楷体"/>
          <w:color w:val="000000" w:themeColor="text1"/>
          <w:lang w:val="en-GB"/>
        </w:rPr>
        <w:t>；非税收入</w:t>
      </w:r>
      <w:r w:rsidRPr="007072FB">
        <w:rPr>
          <w:rFonts w:ascii="Verdana" w:eastAsia="华文细黑" w:hAnsi="Verdana" w:cs="楷体"/>
          <w:color w:val="000000" w:themeColor="text1"/>
          <w:lang w:val="en-GB"/>
        </w:rPr>
        <w:t>41.45</w:t>
      </w:r>
      <w:r w:rsidRPr="007072FB">
        <w:rPr>
          <w:rFonts w:ascii="Verdana" w:eastAsia="华文细黑" w:hAnsi="Verdana" w:cs="楷体"/>
          <w:color w:val="000000" w:themeColor="text1"/>
          <w:lang w:val="en-GB"/>
        </w:rPr>
        <w:t>亿元，同比增长</w:t>
      </w:r>
      <w:r w:rsidRPr="007072FB">
        <w:rPr>
          <w:rFonts w:ascii="Verdana" w:eastAsia="华文细黑" w:hAnsi="Verdana" w:cs="楷体"/>
          <w:color w:val="000000" w:themeColor="text1"/>
          <w:lang w:val="en-GB"/>
        </w:rPr>
        <w:t>8.3%</w:t>
      </w:r>
      <w:r w:rsidRPr="007072FB">
        <w:rPr>
          <w:rFonts w:ascii="Verdana" w:eastAsia="华文细黑" w:hAnsi="Verdana" w:cs="楷体"/>
          <w:color w:val="000000" w:themeColor="text1"/>
          <w:lang w:val="en-GB"/>
        </w:rPr>
        <w:t>。从税源看，增值税、土地增值税和契税分别增长</w:t>
      </w:r>
      <w:r w:rsidRPr="007072FB">
        <w:rPr>
          <w:rFonts w:ascii="Verdana" w:eastAsia="华文细黑" w:hAnsi="Verdana" w:cs="楷体"/>
          <w:color w:val="000000" w:themeColor="text1"/>
          <w:lang w:val="en-GB"/>
        </w:rPr>
        <w:t>151.2%</w:t>
      </w:r>
      <w:r w:rsidRPr="007072FB">
        <w:rPr>
          <w:rFonts w:ascii="Verdana" w:eastAsia="华文细黑" w:hAnsi="Verdana" w:cs="楷体"/>
          <w:color w:val="000000" w:themeColor="text1"/>
          <w:lang w:val="en-GB"/>
        </w:rPr>
        <w:t>、</w:t>
      </w:r>
      <w:r w:rsidRPr="007072FB">
        <w:rPr>
          <w:rFonts w:ascii="Verdana" w:eastAsia="华文细黑" w:hAnsi="Verdana" w:cs="楷体"/>
          <w:color w:val="000000" w:themeColor="text1"/>
          <w:lang w:val="en-GB"/>
        </w:rPr>
        <w:t>20.4%</w:t>
      </w:r>
      <w:r w:rsidRPr="007072FB">
        <w:rPr>
          <w:rFonts w:ascii="Verdana" w:eastAsia="华文细黑" w:hAnsi="Verdana" w:cs="楷体"/>
          <w:color w:val="000000" w:themeColor="text1"/>
          <w:lang w:val="en-GB"/>
        </w:rPr>
        <w:t>和</w:t>
      </w:r>
      <w:r w:rsidRPr="007072FB">
        <w:rPr>
          <w:rFonts w:ascii="Verdana" w:eastAsia="华文细黑" w:hAnsi="Verdana" w:cs="楷体"/>
          <w:color w:val="000000" w:themeColor="text1"/>
          <w:lang w:val="en-GB"/>
        </w:rPr>
        <w:t>103.0%</w:t>
      </w:r>
      <w:r w:rsidRPr="007072FB">
        <w:rPr>
          <w:rFonts w:ascii="Verdana" w:eastAsia="华文细黑" w:hAnsi="Verdana" w:cs="楷体"/>
          <w:color w:val="000000" w:themeColor="text1"/>
          <w:lang w:val="en-GB"/>
        </w:rPr>
        <w:t>。</w:t>
      </w:r>
    </w:p>
    <w:p w14:paraId="1F09B49A" w14:textId="1382919B" w:rsidR="000D1B9A" w:rsidRPr="007072FB" w:rsidRDefault="00000000" w:rsidP="003C3C26">
      <w:pPr>
        <w:spacing w:before="120" w:after="120" w:line="360" w:lineRule="auto"/>
        <w:outlineLvl w:val="0"/>
        <w:rPr>
          <w:rFonts w:ascii="Verdana" w:eastAsia="华文细黑" w:hAnsi="Verdana" w:cs="Calibri"/>
          <w:lang w:val="en-GB"/>
        </w:rPr>
      </w:pPr>
      <w:bookmarkStart w:id="28" w:name="_Toc28675799"/>
      <w:bookmarkStart w:id="29" w:name="_Toc38921589"/>
      <w:bookmarkStart w:id="30" w:name="_Toc39093420"/>
      <w:bookmarkStart w:id="31" w:name="_Toc4763012"/>
      <w:bookmarkStart w:id="32" w:name="_Toc135044141"/>
      <w:bookmarkStart w:id="33" w:name="_Toc38899000"/>
      <w:bookmarkStart w:id="34" w:name="_Toc4762886"/>
      <w:bookmarkStart w:id="35" w:name="_Toc25162476"/>
      <w:r w:rsidRPr="007072FB">
        <w:rPr>
          <w:rFonts w:ascii="Verdana" w:eastAsia="华文细黑" w:hAnsi="Verdana" w:cs="Calibri"/>
          <w:b/>
          <w:sz w:val="28"/>
        </w:rPr>
        <w:t>4</w:t>
      </w:r>
      <w:r w:rsidRPr="007072FB">
        <w:rPr>
          <w:rFonts w:ascii="Verdana" w:eastAsia="华文细黑" w:hAnsi="Verdana" w:cs="Calibri"/>
          <w:b/>
          <w:sz w:val="28"/>
        </w:rPr>
        <w:t>．政府性基金预算收支</w:t>
      </w:r>
      <w:bookmarkEnd w:id="28"/>
      <w:bookmarkEnd w:id="29"/>
      <w:bookmarkEnd w:id="30"/>
      <w:bookmarkEnd w:id="31"/>
      <w:bookmarkEnd w:id="32"/>
      <w:bookmarkEnd w:id="33"/>
      <w:bookmarkEnd w:id="34"/>
      <w:bookmarkEnd w:id="35"/>
    </w:p>
    <w:p w14:paraId="52623277" w14:textId="77777777" w:rsidR="000D1B9A" w:rsidRPr="007072FB" w:rsidRDefault="00000000">
      <w:pPr>
        <w:spacing w:before="120" w:after="120" w:line="360" w:lineRule="auto"/>
        <w:ind w:firstLine="454"/>
        <w:jc w:val="both"/>
        <w:rPr>
          <w:rFonts w:ascii="Verdana" w:eastAsia="华文细黑" w:hAnsi="Verdana" w:cs="Calibri"/>
          <w:lang w:val="en-GB"/>
        </w:rPr>
      </w:pPr>
      <w:r w:rsidRPr="007072FB">
        <w:rPr>
          <w:rFonts w:ascii="Verdana" w:eastAsia="华文细黑" w:hAnsi="Verdana" w:cs="Calibri"/>
          <w:lang w:val="en-GB"/>
        </w:rPr>
        <w:t>2020</w:t>
      </w:r>
      <w:r w:rsidRPr="007072FB">
        <w:rPr>
          <w:rFonts w:ascii="Verdana" w:eastAsia="华文细黑" w:hAnsi="Verdana" w:cs="Calibri"/>
          <w:lang w:val="en-GB"/>
        </w:rPr>
        <w:t>年，三亚市地方政府性基金预算收入</w:t>
      </w:r>
      <w:r w:rsidRPr="007072FB">
        <w:rPr>
          <w:rFonts w:ascii="Verdana" w:eastAsia="华文细黑" w:hAnsi="Verdana" w:cs="Calibri"/>
          <w:lang w:val="en-GB"/>
        </w:rPr>
        <w:t>110.2</w:t>
      </w:r>
      <w:r w:rsidRPr="007072FB">
        <w:rPr>
          <w:rFonts w:ascii="Verdana" w:eastAsia="华文细黑" w:hAnsi="Verdana" w:cs="Calibri"/>
          <w:lang w:val="en-GB"/>
        </w:rPr>
        <w:t>亿元，增收</w:t>
      </w:r>
      <w:r w:rsidRPr="007072FB">
        <w:rPr>
          <w:rFonts w:ascii="Verdana" w:eastAsia="华文细黑" w:hAnsi="Verdana" w:cs="Calibri"/>
          <w:lang w:val="en-GB"/>
        </w:rPr>
        <w:t>8.1</w:t>
      </w:r>
      <w:r w:rsidRPr="007072FB">
        <w:rPr>
          <w:rFonts w:ascii="Verdana" w:eastAsia="华文细黑" w:hAnsi="Verdana" w:cs="Calibri"/>
          <w:lang w:val="en-GB"/>
        </w:rPr>
        <w:t>亿元，增长</w:t>
      </w:r>
      <w:r w:rsidRPr="007072FB">
        <w:rPr>
          <w:rFonts w:ascii="Verdana" w:eastAsia="华文细黑" w:hAnsi="Verdana" w:cs="Calibri"/>
          <w:lang w:val="en-GB"/>
        </w:rPr>
        <w:t>8.0%</w:t>
      </w:r>
      <w:r w:rsidRPr="007072FB">
        <w:rPr>
          <w:rFonts w:ascii="Verdana" w:eastAsia="华文细黑" w:hAnsi="Verdana" w:cs="Calibri"/>
          <w:lang w:val="en-GB"/>
        </w:rPr>
        <w:t>，加上省代理地方政府发行新增专项债券收入</w:t>
      </w:r>
      <w:r w:rsidRPr="007072FB">
        <w:rPr>
          <w:rFonts w:ascii="Verdana" w:eastAsia="华文细黑" w:hAnsi="Verdana" w:cs="Calibri"/>
          <w:lang w:val="en-GB"/>
        </w:rPr>
        <w:t>62.4</w:t>
      </w:r>
      <w:r w:rsidRPr="007072FB">
        <w:rPr>
          <w:rFonts w:ascii="Verdana" w:eastAsia="华文细黑" w:hAnsi="Verdana" w:cs="Calibri"/>
          <w:lang w:val="en-GB"/>
        </w:rPr>
        <w:t>亿元、抗</w:t>
      </w:r>
      <w:proofErr w:type="gramStart"/>
      <w:r w:rsidRPr="007072FB">
        <w:rPr>
          <w:rFonts w:ascii="Verdana" w:eastAsia="华文细黑" w:hAnsi="Verdana" w:cs="Calibri"/>
          <w:lang w:val="en-GB"/>
        </w:rPr>
        <w:t>疫</w:t>
      </w:r>
      <w:proofErr w:type="gramEnd"/>
      <w:r w:rsidRPr="007072FB">
        <w:rPr>
          <w:rFonts w:ascii="Verdana" w:eastAsia="华文细黑" w:hAnsi="Verdana" w:cs="Calibri"/>
          <w:lang w:val="en-GB"/>
        </w:rPr>
        <w:t>特别国债收入</w:t>
      </w:r>
      <w:r w:rsidRPr="007072FB">
        <w:rPr>
          <w:rFonts w:ascii="Verdana" w:eastAsia="华文细黑" w:hAnsi="Verdana" w:cs="Calibri"/>
          <w:lang w:val="en-GB"/>
        </w:rPr>
        <w:t>22.5</w:t>
      </w:r>
      <w:r w:rsidRPr="007072FB">
        <w:rPr>
          <w:rFonts w:ascii="Verdana" w:eastAsia="华文细黑" w:hAnsi="Verdana" w:cs="Calibri"/>
          <w:lang w:val="en-GB"/>
        </w:rPr>
        <w:t>亿元、再融资债券收入</w:t>
      </w:r>
      <w:r w:rsidRPr="007072FB">
        <w:rPr>
          <w:rFonts w:ascii="Verdana" w:eastAsia="华文细黑" w:hAnsi="Verdana" w:cs="Calibri"/>
          <w:lang w:val="en-GB"/>
        </w:rPr>
        <w:t>8.0</w:t>
      </w:r>
      <w:r w:rsidRPr="007072FB">
        <w:rPr>
          <w:rFonts w:ascii="Verdana" w:eastAsia="华文细黑" w:hAnsi="Verdana" w:cs="Calibri"/>
          <w:lang w:val="en-GB"/>
        </w:rPr>
        <w:t>亿元、转移性收入</w:t>
      </w:r>
      <w:r w:rsidRPr="007072FB">
        <w:rPr>
          <w:rFonts w:ascii="Verdana" w:eastAsia="华文细黑" w:hAnsi="Verdana" w:cs="Calibri"/>
          <w:lang w:val="en-GB"/>
        </w:rPr>
        <w:t>0.9</w:t>
      </w:r>
      <w:r w:rsidRPr="007072FB">
        <w:rPr>
          <w:rFonts w:ascii="Verdana" w:eastAsia="华文细黑" w:hAnsi="Verdana" w:cs="Calibri"/>
          <w:lang w:val="en-GB"/>
        </w:rPr>
        <w:t>亿元和上年结余结转收入</w:t>
      </w:r>
      <w:r w:rsidRPr="007072FB">
        <w:rPr>
          <w:rFonts w:ascii="Verdana" w:eastAsia="华文细黑" w:hAnsi="Verdana" w:cs="Calibri"/>
          <w:lang w:val="en-GB"/>
        </w:rPr>
        <w:t>3.4</w:t>
      </w:r>
      <w:r w:rsidRPr="007072FB">
        <w:rPr>
          <w:rFonts w:ascii="Verdana" w:eastAsia="华文细黑" w:hAnsi="Verdana" w:cs="Calibri"/>
          <w:lang w:val="en-GB"/>
        </w:rPr>
        <w:t>亿元，全市地方政府性基金预算总收入</w:t>
      </w:r>
      <w:r w:rsidRPr="007072FB">
        <w:rPr>
          <w:rFonts w:ascii="Verdana" w:eastAsia="华文细黑" w:hAnsi="Verdana" w:cs="Calibri"/>
          <w:lang w:val="en-GB"/>
        </w:rPr>
        <w:t>207.4</w:t>
      </w:r>
      <w:r w:rsidRPr="007072FB">
        <w:rPr>
          <w:rFonts w:ascii="Verdana" w:eastAsia="华文细黑" w:hAnsi="Verdana" w:cs="Calibri"/>
          <w:lang w:val="en-GB"/>
        </w:rPr>
        <w:t>亿元，增收</w:t>
      </w:r>
      <w:r w:rsidRPr="007072FB">
        <w:rPr>
          <w:rFonts w:ascii="Verdana" w:eastAsia="华文细黑" w:hAnsi="Verdana" w:cs="Calibri"/>
          <w:lang w:val="en-GB"/>
        </w:rPr>
        <w:t>53.2</w:t>
      </w:r>
      <w:r w:rsidRPr="007072FB">
        <w:rPr>
          <w:rFonts w:ascii="Verdana" w:eastAsia="华文细黑" w:hAnsi="Verdana" w:cs="Calibri"/>
          <w:lang w:val="en-GB"/>
        </w:rPr>
        <w:t>亿元，增长</w:t>
      </w:r>
      <w:r w:rsidRPr="007072FB">
        <w:rPr>
          <w:rFonts w:ascii="Verdana" w:eastAsia="华文细黑" w:hAnsi="Verdana" w:cs="Calibri"/>
          <w:lang w:val="en-GB"/>
        </w:rPr>
        <w:t>34.5%</w:t>
      </w:r>
      <w:r w:rsidRPr="007072FB">
        <w:rPr>
          <w:rFonts w:ascii="Verdana" w:eastAsia="华文细黑" w:hAnsi="Verdana" w:cs="Calibri"/>
          <w:lang w:val="en-GB"/>
        </w:rPr>
        <w:t>。全市地方政府性基金预算支出</w:t>
      </w:r>
      <w:r w:rsidRPr="007072FB">
        <w:rPr>
          <w:rFonts w:ascii="Verdana" w:eastAsia="华文细黑" w:hAnsi="Verdana" w:cs="Calibri"/>
          <w:lang w:val="en-GB"/>
        </w:rPr>
        <w:t>189.7</w:t>
      </w:r>
      <w:r w:rsidRPr="007072FB">
        <w:rPr>
          <w:rFonts w:ascii="Verdana" w:eastAsia="华文细黑" w:hAnsi="Verdana" w:cs="Calibri"/>
          <w:lang w:val="en-GB"/>
        </w:rPr>
        <w:t>亿元，增支</w:t>
      </w:r>
      <w:r w:rsidRPr="007072FB">
        <w:rPr>
          <w:rFonts w:ascii="Verdana" w:eastAsia="华文细黑" w:hAnsi="Verdana" w:cs="Calibri"/>
          <w:lang w:val="en-GB"/>
        </w:rPr>
        <w:t>57.0</w:t>
      </w:r>
      <w:r w:rsidRPr="007072FB">
        <w:rPr>
          <w:rFonts w:ascii="Verdana" w:eastAsia="华文细黑" w:hAnsi="Verdana" w:cs="Calibri"/>
          <w:lang w:val="en-GB"/>
        </w:rPr>
        <w:t>亿元，增长</w:t>
      </w:r>
      <w:r w:rsidRPr="007072FB">
        <w:rPr>
          <w:rFonts w:ascii="Verdana" w:eastAsia="华文细黑" w:hAnsi="Verdana" w:cs="Calibri"/>
          <w:lang w:val="en-GB"/>
        </w:rPr>
        <w:t>43.0%</w:t>
      </w:r>
      <w:r w:rsidRPr="007072FB">
        <w:rPr>
          <w:rFonts w:ascii="Verdana" w:eastAsia="华文细黑" w:hAnsi="Verdana" w:cs="Calibri"/>
          <w:lang w:val="en-GB"/>
        </w:rPr>
        <w:t>，加上中央和省代理地方政府发行债券还本支出</w:t>
      </w:r>
      <w:r w:rsidRPr="007072FB">
        <w:rPr>
          <w:rFonts w:ascii="Verdana" w:eastAsia="华文细黑" w:hAnsi="Verdana" w:cs="Calibri"/>
          <w:lang w:val="en-GB"/>
        </w:rPr>
        <w:t>9.3</w:t>
      </w:r>
      <w:r w:rsidRPr="007072FB">
        <w:rPr>
          <w:rFonts w:ascii="Verdana" w:eastAsia="华文细黑" w:hAnsi="Verdana" w:cs="Calibri"/>
          <w:lang w:val="en-GB"/>
        </w:rPr>
        <w:t>亿元、调出资金</w:t>
      </w:r>
      <w:r w:rsidRPr="007072FB">
        <w:rPr>
          <w:rFonts w:ascii="Verdana" w:eastAsia="华文细黑" w:hAnsi="Verdana" w:cs="Calibri"/>
          <w:lang w:val="en-GB"/>
        </w:rPr>
        <w:t>2.6</w:t>
      </w:r>
      <w:r w:rsidRPr="007072FB">
        <w:rPr>
          <w:rFonts w:ascii="Verdana" w:eastAsia="华文细黑" w:hAnsi="Verdana" w:cs="Calibri"/>
          <w:lang w:val="en-GB"/>
        </w:rPr>
        <w:t>亿元，全市地方政府性基金预算总支出</w:t>
      </w:r>
      <w:r w:rsidRPr="007072FB">
        <w:rPr>
          <w:rFonts w:ascii="Verdana" w:eastAsia="华文细黑" w:hAnsi="Verdana" w:cs="Calibri"/>
          <w:lang w:val="en-GB"/>
        </w:rPr>
        <w:t>201.6</w:t>
      </w:r>
      <w:r w:rsidRPr="007072FB">
        <w:rPr>
          <w:rFonts w:ascii="Verdana" w:eastAsia="华文细黑" w:hAnsi="Verdana" w:cs="Calibri"/>
          <w:lang w:val="en-GB"/>
        </w:rPr>
        <w:t>亿元，增支</w:t>
      </w:r>
      <w:r w:rsidRPr="007072FB">
        <w:rPr>
          <w:rFonts w:ascii="Verdana" w:eastAsia="华文细黑" w:hAnsi="Verdana" w:cs="Calibri"/>
          <w:lang w:val="en-GB"/>
        </w:rPr>
        <w:t>50.8</w:t>
      </w:r>
      <w:r w:rsidRPr="007072FB">
        <w:rPr>
          <w:rFonts w:ascii="Verdana" w:eastAsia="华文细黑" w:hAnsi="Verdana" w:cs="Calibri"/>
          <w:lang w:val="en-GB"/>
        </w:rPr>
        <w:t>亿元，增长</w:t>
      </w:r>
      <w:r w:rsidRPr="007072FB">
        <w:rPr>
          <w:rFonts w:ascii="Verdana" w:eastAsia="华文细黑" w:hAnsi="Verdana" w:cs="Calibri"/>
          <w:lang w:val="en-GB"/>
        </w:rPr>
        <w:t>33.7%</w:t>
      </w:r>
      <w:r w:rsidRPr="007072FB">
        <w:rPr>
          <w:rFonts w:ascii="Verdana" w:eastAsia="华文细黑" w:hAnsi="Verdana" w:cs="Calibri"/>
          <w:lang w:val="en-GB"/>
        </w:rPr>
        <w:t>。收支相抵，年终结余</w:t>
      </w:r>
      <w:r w:rsidRPr="007072FB">
        <w:rPr>
          <w:rFonts w:ascii="Verdana" w:eastAsia="华文细黑" w:hAnsi="Verdana" w:cs="Calibri"/>
          <w:lang w:val="en-GB"/>
        </w:rPr>
        <w:t>5.8</w:t>
      </w:r>
      <w:r w:rsidRPr="007072FB">
        <w:rPr>
          <w:rFonts w:ascii="Verdana" w:eastAsia="华文细黑" w:hAnsi="Verdana" w:cs="Calibri"/>
          <w:lang w:val="en-GB"/>
        </w:rPr>
        <w:t>亿元。</w:t>
      </w:r>
    </w:p>
    <w:p w14:paraId="1C36D3C1" w14:textId="77777777" w:rsidR="000D1B9A" w:rsidRPr="007072FB" w:rsidRDefault="00000000">
      <w:pPr>
        <w:spacing w:before="120" w:after="120" w:line="360" w:lineRule="auto"/>
        <w:ind w:firstLine="454"/>
        <w:jc w:val="both"/>
        <w:rPr>
          <w:rFonts w:ascii="Verdana" w:eastAsia="华文细黑" w:hAnsi="Verdana" w:cs="Calibri"/>
          <w:lang w:val="en-GB"/>
        </w:rPr>
      </w:pPr>
      <w:r w:rsidRPr="007072FB">
        <w:rPr>
          <w:rFonts w:ascii="Verdana" w:eastAsia="华文细黑" w:hAnsi="Verdana" w:cs="Calibri"/>
          <w:lang w:val="en-GB"/>
        </w:rPr>
        <w:t>2021</w:t>
      </w:r>
      <w:r w:rsidRPr="007072FB">
        <w:rPr>
          <w:rFonts w:ascii="Verdana" w:eastAsia="华文细黑" w:hAnsi="Verdana" w:cs="Calibri"/>
          <w:lang w:val="en-GB"/>
        </w:rPr>
        <w:t>年，三亚市地方政府性基金预算收入</w:t>
      </w:r>
      <w:r w:rsidRPr="007072FB">
        <w:rPr>
          <w:rFonts w:ascii="Verdana" w:eastAsia="华文细黑" w:hAnsi="Verdana" w:cs="Calibri"/>
          <w:lang w:val="en-GB"/>
        </w:rPr>
        <w:t>97.1</w:t>
      </w:r>
      <w:r w:rsidRPr="007072FB">
        <w:rPr>
          <w:rFonts w:ascii="Verdana" w:eastAsia="华文细黑" w:hAnsi="Verdana" w:cs="Calibri"/>
          <w:lang w:val="en-GB"/>
        </w:rPr>
        <w:t>亿元，下降</w:t>
      </w:r>
      <w:r w:rsidRPr="007072FB">
        <w:rPr>
          <w:rFonts w:ascii="Verdana" w:eastAsia="华文细黑" w:hAnsi="Verdana" w:cs="Calibri"/>
          <w:lang w:val="en-GB"/>
        </w:rPr>
        <w:t>11.9%</w:t>
      </w:r>
      <w:r w:rsidRPr="007072FB">
        <w:rPr>
          <w:rFonts w:ascii="Verdana" w:eastAsia="华文细黑" w:hAnsi="Verdana" w:cs="Calibri"/>
          <w:lang w:val="en-GB"/>
        </w:rPr>
        <w:t>，加上新增专项债券收入</w:t>
      </w:r>
      <w:r w:rsidRPr="007072FB">
        <w:rPr>
          <w:rFonts w:ascii="Verdana" w:eastAsia="华文细黑" w:hAnsi="Verdana" w:cs="Calibri"/>
          <w:lang w:val="en-GB"/>
        </w:rPr>
        <w:t>85.1</w:t>
      </w:r>
      <w:r w:rsidRPr="007072FB">
        <w:rPr>
          <w:rFonts w:ascii="Verdana" w:eastAsia="华文细黑" w:hAnsi="Verdana" w:cs="Calibri"/>
          <w:lang w:val="en-GB"/>
        </w:rPr>
        <w:t>亿元、再融资债券收入</w:t>
      </w:r>
      <w:r w:rsidRPr="007072FB">
        <w:rPr>
          <w:rFonts w:ascii="Verdana" w:eastAsia="华文细黑" w:hAnsi="Verdana" w:cs="Calibri"/>
          <w:lang w:val="en-GB"/>
        </w:rPr>
        <w:t>6.9</w:t>
      </w:r>
      <w:r w:rsidRPr="007072FB">
        <w:rPr>
          <w:rFonts w:ascii="Verdana" w:eastAsia="华文细黑" w:hAnsi="Verdana" w:cs="Calibri"/>
          <w:lang w:val="en-GB"/>
        </w:rPr>
        <w:t>亿元、上级补助收入</w:t>
      </w:r>
      <w:r w:rsidRPr="007072FB">
        <w:rPr>
          <w:rFonts w:ascii="Verdana" w:eastAsia="华文细黑" w:hAnsi="Verdana" w:cs="Calibri"/>
          <w:lang w:val="en-GB"/>
        </w:rPr>
        <w:t>17.4</w:t>
      </w:r>
      <w:r w:rsidRPr="007072FB">
        <w:rPr>
          <w:rFonts w:ascii="Verdana" w:eastAsia="华文细黑" w:hAnsi="Verdana" w:cs="Calibri"/>
          <w:lang w:val="en-GB"/>
        </w:rPr>
        <w:t>亿元和上年结余收入</w:t>
      </w:r>
      <w:r w:rsidRPr="007072FB">
        <w:rPr>
          <w:rFonts w:ascii="Verdana" w:eastAsia="华文细黑" w:hAnsi="Verdana" w:cs="Calibri"/>
          <w:lang w:val="en-GB"/>
        </w:rPr>
        <w:t>5.8</w:t>
      </w:r>
      <w:r w:rsidRPr="007072FB">
        <w:rPr>
          <w:rFonts w:ascii="Verdana" w:eastAsia="华文细黑" w:hAnsi="Verdana" w:cs="Calibri"/>
          <w:lang w:val="en-GB"/>
        </w:rPr>
        <w:t>亿元，全市地方政府性基金预算总收入</w:t>
      </w:r>
      <w:r w:rsidRPr="007072FB">
        <w:rPr>
          <w:rFonts w:ascii="Verdana" w:eastAsia="华文细黑" w:hAnsi="Verdana" w:cs="Calibri"/>
          <w:lang w:val="en-GB"/>
        </w:rPr>
        <w:t>212.3</w:t>
      </w:r>
      <w:r w:rsidRPr="007072FB">
        <w:rPr>
          <w:rFonts w:ascii="Verdana" w:eastAsia="华文细黑" w:hAnsi="Verdana" w:cs="Calibri"/>
          <w:lang w:val="en-GB"/>
        </w:rPr>
        <w:t>亿元。全市地方政府性基金预算支出</w:t>
      </w:r>
      <w:r w:rsidRPr="007072FB">
        <w:rPr>
          <w:rFonts w:ascii="Verdana" w:eastAsia="华文细黑" w:hAnsi="Verdana" w:cs="Calibri"/>
          <w:lang w:val="en-GB"/>
        </w:rPr>
        <w:t>170.8</w:t>
      </w:r>
      <w:r w:rsidRPr="007072FB">
        <w:rPr>
          <w:rFonts w:ascii="Verdana" w:eastAsia="华文细黑" w:hAnsi="Verdana" w:cs="Calibri"/>
          <w:lang w:val="en-GB"/>
        </w:rPr>
        <w:t>亿元，下降</w:t>
      </w:r>
      <w:r w:rsidRPr="007072FB">
        <w:rPr>
          <w:rFonts w:ascii="Verdana" w:eastAsia="华文细黑" w:hAnsi="Verdana" w:cs="Calibri"/>
          <w:lang w:val="en-GB"/>
        </w:rPr>
        <w:t>10.0%</w:t>
      </w:r>
      <w:r w:rsidRPr="007072FB">
        <w:rPr>
          <w:rFonts w:ascii="Verdana" w:eastAsia="华文细黑" w:hAnsi="Verdana" w:cs="Calibri"/>
          <w:lang w:val="en-GB"/>
        </w:rPr>
        <w:t>，加上调出资金</w:t>
      </w:r>
      <w:r w:rsidRPr="007072FB">
        <w:rPr>
          <w:rFonts w:ascii="Verdana" w:eastAsia="华文细黑" w:hAnsi="Verdana" w:cs="Calibri"/>
          <w:lang w:val="en-GB"/>
        </w:rPr>
        <w:t>0.7</w:t>
      </w:r>
      <w:r w:rsidRPr="007072FB">
        <w:rPr>
          <w:rFonts w:ascii="Verdana" w:eastAsia="华文细黑" w:hAnsi="Verdana" w:cs="Calibri"/>
          <w:lang w:val="en-GB"/>
        </w:rPr>
        <w:t>亿元、地方政府债券还本支出</w:t>
      </w:r>
      <w:r w:rsidRPr="007072FB">
        <w:rPr>
          <w:rFonts w:ascii="Verdana" w:eastAsia="华文细黑" w:hAnsi="Verdana" w:cs="Calibri"/>
          <w:lang w:val="en-GB"/>
        </w:rPr>
        <w:t>23.0</w:t>
      </w:r>
      <w:r w:rsidRPr="007072FB">
        <w:rPr>
          <w:rFonts w:ascii="Verdana" w:eastAsia="华文细黑" w:hAnsi="Verdana" w:cs="Calibri"/>
          <w:lang w:val="en-GB"/>
        </w:rPr>
        <w:t>亿元，全市地方政府性基金预算总支出</w:t>
      </w:r>
      <w:r w:rsidRPr="007072FB">
        <w:rPr>
          <w:rFonts w:ascii="Verdana" w:eastAsia="华文细黑" w:hAnsi="Verdana" w:cs="Calibri"/>
          <w:lang w:val="en-GB"/>
        </w:rPr>
        <w:t>194.5</w:t>
      </w:r>
      <w:r w:rsidRPr="007072FB">
        <w:rPr>
          <w:rFonts w:ascii="Verdana" w:eastAsia="华文细黑" w:hAnsi="Verdana" w:cs="Calibri"/>
          <w:lang w:val="en-GB"/>
        </w:rPr>
        <w:t>亿元。收支相抵，年终结余结转</w:t>
      </w:r>
      <w:r w:rsidRPr="007072FB">
        <w:rPr>
          <w:rFonts w:ascii="Verdana" w:eastAsia="华文细黑" w:hAnsi="Verdana" w:cs="Calibri"/>
          <w:lang w:val="en-GB"/>
        </w:rPr>
        <w:t>17.8</w:t>
      </w:r>
      <w:r w:rsidRPr="007072FB">
        <w:rPr>
          <w:rFonts w:ascii="Verdana" w:eastAsia="华文细黑" w:hAnsi="Verdana" w:cs="Calibri"/>
          <w:lang w:val="en-GB"/>
        </w:rPr>
        <w:t>亿元。</w:t>
      </w:r>
    </w:p>
    <w:p w14:paraId="7E664264" w14:textId="51DD51D9" w:rsidR="000D1B9A" w:rsidRPr="007072FB" w:rsidRDefault="00000000">
      <w:pPr>
        <w:spacing w:before="120" w:after="120" w:line="360" w:lineRule="auto"/>
        <w:ind w:firstLine="454"/>
        <w:jc w:val="both"/>
        <w:rPr>
          <w:rFonts w:ascii="Verdana" w:eastAsia="华文细黑" w:hAnsi="Verdana" w:cs="Calibri"/>
          <w:lang w:val="en-GB"/>
        </w:rPr>
      </w:pPr>
      <w:r w:rsidRPr="007072FB">
        <w:rPr>
          <w:rFonts w:ascii="Verdana" w:eastAsia="华文细黑" w:hAnsi="Verdana" w:cs="Calibri"/>
          <w:lang w:val="en-GB"/>
        </w:rPr>
        <w:t>2022</w:t>
      </w:r>
      <w:r w:rsidRPr="007072FB">
        <w:rPr>
          <w:rFonts w:ascii="Verdana" w:eastAsia="华文细黑" w:hAnsi="Verdana" w:cs="Calibri"/>
          <w:lang w:val="en-GB"/>
        </w:rPr>
        <w:t>年，三亚市地方政府性基金预算收入</w:t>
      </w:r>
      <w:r w:rsidRPr="007072FB">
        <w:rPr>
          <w:rFonts w:ascii="Verdana" w:eastAsia="华文细黑" w:hAnsi="Verdana" w:cs="Calibri"/>
          <w:lang w:val="en-GB"/>
        </w:rPr>
        <w:t>136.0</w:t>
      </w:r>
      <w:r w:rsidRPr="007072FB">
        <w:rPr>
          <w:rFonts w:ascii="Verdana" w:eastAsia="华文细黑" w:hAnsi="Verdana" w:cs="Calibri"/>
          <w:lang w:val="en-GB"/>
        </w:rPr>
        <w:t>亿元，增长</w:t>
      </w:r>
      <w:r w:rsidRPr="007072FB">
        <w:rPr>
          <w:rFonts w:ascii="Verdana" w:eastAsia="华文细黑" w:hAnsi="Verdana" w:cs="Calibri"/>
          <w:lang w:val="en-GB"/>
        </w:rPr>
        <w:t>40.0%</w:t>
      </w:r>
      <w:r w:rsidRPr="007072FB">
        <w:rPr>
          <w:rFonts w:ascii="Verdana" w:eastAsia="华文细黑" w:hAnsi="Verdana" w:cs="Calibri"/>
          <w:lang w:val="en-GB"/>
        </w:rPr>
        <w:t>，加上上级补助收入</w:t>
      </w:r>
      <w:r w:rsidRPr="007072FB">
        <w:rPr>
          <w:rFonts w:ascii="Verdana" w:eastAsia="华文细黑" w:hAnsi="Verdana" w:cs="Calibri"/>
          <w:lang w:val="en-GB"/>
        </w:rPr>
        <w:t>3.5</w:t>
      </w:r>
      <w:r w:rsidRPr="007072FB">
        <w:rPr>
          <w:rFonts w:ascii="Verdana" w:eastAsia="华文细黑" w:hAnsi="Verdana" w:cs="Calibri"/>
          <w:lang w:val="en-GB"/>
        </w:rPr>
        <w:t>亿元、再融资债券收入</w:t>
      </w:r>
      <w:r w:rsidRPr="007072FB">
        <w:rPr>
          <w:rFonts w:ascii="Verdana" w:eastAsia="华文细黑" w:hAnsi="Verdana" w:cs="Calibri"/>
          <w:lang w:val="en-GB"/>
        </w:rPr>
        <w:t>21.4</w:t>
      </w:r>
      <w:r w:rsidRPr="007072FB">
        <w:rPr>
          <w:rFonts w:ascii="Verdana" w:eastAsia="华文细黑" w:hAnsi="Verdana" w:cs="Calibri"/>
          <w:lang w:val="en-GB"/>
        </w:rPr>
        <w:t>亿元和上年结余收入</w:t>
      </w:r>
      <w:r w:rsidRPr="007072FB">
        <w:rPr>
          <w:rFonts w:ascii="Verdana" w:eastAsia="华文细黑" w:hAnsi="Verdana" w:cs="Calibri"/>
          <w:lang w:val="en-GB"/>
        </w:rPr>
        <w:t>17.8</w:t>
      </w:r>
      <w:r w:rsidRPr="007072FB">
        <w:rPr>
          <w:rFonts w:ascii="Verdana" w:eastAsia="华文细黑" w:hAnsi="Verdana" w:cs="Calibri"/>
          <w:lang w:val="en-GB"/>
        </w:rPr>
        <w:t>亿元，全市地方政府性基金预算总收入</w:t>
      </w:r>
      <w:r w:rsidRPr="007072FB">
        <w:rPr>
          <w:rFonts w:ascii="Verdana" w:eastAsia="华文细黑" w:hAnsi="Verdana" w:cs="Calibri"/>
          <w:lang w:val="en-GB"/>
        </w:rPr>
        <w:t>178.7</w:t>
      </w:r>
      <w:r w:rsidRPr="007072FB">
        <w:rPr>
          <w:rFonts w:ascii="Verdana" w:eastAsia="华文细黑" w:hAnsi="Verdana" w:cs="Calibri"/>
          <w:lang w:val="en-GB"/>
        </w:rPr>
        <w:t>亿元。全市地方政府性基金预算支出</w:t>
      </w:r>
      <w:r w:rsidRPr="007072FB">
        <w:rPr>
          <w:rFonts w:ascii="Verdana" w:eastAsia="华文细黑" w:hAnsi="Verdana" w:cs="Calibri"/>
          <w:lang w:val="en-GB"/>
        </w:rPr>
        <w:lastRenderedPageBreak/>
        <w:t>152.9</w:t>
      </w:r>
      <w:r w:rsidRPr="007072FB">
        <w:rPr>
          <w:rFonts w:ascii="Verdana" w:eastAsia="华文细黑" w:hAnsi="Verdana" w:cs="Calibri"/>
          <w:lang w:val="en-GB"/>
        </w:rPr>
        <w:t>亿元，下降</w:t>
      </w:r>
      <w:r w:rsidRPr="007072FB">
        <w:rPr>
          <w:rFonts w:ascii="Verdana" w:eastAsia="华文细黑" w:hAnsi="Verdana" w:cs="Calibri"/>
          <w:lang w:val="en-GB"/>
        </w:rPr>
        <w:t>10.5%</w:t>
      </w:r>
      <w:r w:rsidRPr="007072FB">
        <w:rPr>
          <w:rFonts w:ascii="Verdana" w:eastAsia="华文细黑" w:hAnsi="Verdana" w:cs="Calibri"/>
          <w:lang w:val="en-GB"/>
        </w:rPr>
        <w:t>，加上地方政府债券还本支出</w:t>
      </w:r>
      <w:r w:rsidRPr="007072FB">
        <w:rPr>
          <w:rFonts w:ascii="Verdana" w:eastAsia="华文细黑" w:hAnsi="Verdana" w:cs="Calibri"/>
          <w:lang w:val="en-GB"/>
        </w:rPr>
        <w:t>25.3</w:t>
      </w:r>
      <w:r w:rsidRPr="007072FB">
        <w:rPr>
          <w:rFonts w:ascii="Verdana" w:eastAsia="华文细黑" w:hAnsi="Verdana" w:cs="Calibri"/>
          <w:lang w:val="en-GB"/>
        </w:rPr>
        <w:t>亿元，全市地方政府性基金预算总支出</w:t>
      </w:r>
      <w:r w:rsidRPr="007072FB">
        <w:rPr>
          <w:rFonts w:ascii="Verdana" w:eastAsia="华文细黑" w:hAnsi="Verdana" w:cs="Calibri"/>
          <w:lang w:val="en-GB"/>
        </w:rPr>
        <w:t>178.2</w:t>
      </w:r>
      <w:r w:rsidRPr="007072FB">
        <w:rPr>
          <w:rFonts w:ascii="Verdana" w:eastAsia="华文细黑" w:hAnsi="Verdana" w:cs="Calibri"/>
          <w:lang w:val="en-GB"/>
        </w:rPr>
        <w:t>亿元。收支相抵，年终结余结转</w:t>
      </w:r>
      <w:r w:rsidRPr="007072FB">
        <w:rPr>
          <w:rFonts w:ascii="Verdana" w:eastAsia="华文细黑" w:hAnsi="Verdana" w:cs="Calibri"/>
          <w:lang w:val="en-GB"/>
        </w:rPr>
        <w:t>0.5</w:t>
      </w:r>
      <w:r w:rsidRPr="007072FB">
        <w:rPr>
          <w:rFonts w:ascii="Verdana" w:eastAsia="华文细黑" w:hAnsi="Verdana" w:cs="Calibri"/>
          <w:lang w:val="en-GB"/>
        </w:rPr>
        <w:t>亿元。</w:t>
      </w:r>
    </w:p>
    <w:p w14:paraId="3299D03E" w14:textId="4BD13755" w:rsidR="00F43EC7" w:rsidRPr="007072FB" w:rsidRDefault="00F43EC7" w:rsidP="003C3C26">
      <w:pPr>
        <w:spacing w:before="120" w:line="360" w:lineRule="auto"/>
        <w:ind w:firstLineChars="200" w:firstLine="480"/>
        <w:jc w:val="both"/>
        <w:rPr>
          <w:rFonts w:ascii="Verdana" w:eastAsia="华文细黑" w:hAnsi="Verdana" w:cs="楷体"/>
          <w:color w:val="000000" w:themeColor="text1"/>
          <w:lang w:val="en-GB"/>
        </w:rPr>
      </w:pPr>
      <w:r w:rsidRPr="007072FB">
        <w:rPr>
          <w:rFonts w:ascii="Verdana" w:eastAsia="华文细黑" w:hAnsi="Verdana" w:cs="楷体"/>
          <w:color w:val="000000" w:themeColor="text1"/>
          <w:lang w:val="en-GB"/>
        </w:rPr>
        <w:t>2023</w:t>
      </w:r>
      <w:r w:rsidRPr="007072FB">
        <w:rPr>
          <w:rFonts w:ascii="Verdana" w:eastAsia="华文细黑" w:hAnsi="Verdana" w:cs="楷体"/>
          <w:color w:val="000000" w:themeColor="text1"/>
          <w:lang w:val="en-GB"/>
        </w:rPr>
        <w:t>年，全市地方政府性基金预算收入</w:t>
      </w:r>
      <w:r w:rsidRPr="007072FB">
        <w:rPr>
          <w:rFonts w:ascii="Verdana" w:eastAsia="华文细黑" w:hAnsi="Verdana" w:cs="楷体"/>
          <w:color w:val="000000" w:themeColor="text1"/>
          <w:lang w:val="en-GB"/>
        </w:rPr>
        <w:t>153.3</w:t>
      </w:r>
      <w:r w:rsidRPr="007072FB">
        <w:rPr>
          <w:rFonts w:ascii="Verdana" w:eastAsia="华文细黑" w:hAnsi="Verdana" w:cs="楷体"/>
          <w:color w:val="000000" w:themeColor="text1"/>
          <w:lang w:val="en-GB"/>
        </w:rPr>
        <w:t>亿元，完成年度预算的</w:t>
      </w:r>
      <w:r w:rsidRPr="007072FB">
        <w:rPr>
          <w:rFonts w:ascii="Verdana" w:eastAsia="华文细黑" w:hAnsi="Verdana" w:cs="楷体"/>
          <w:color w:val="000000" w:themeColor="text1"/>
          <w:lang w:val="en-GB"/>
        </w:rPr>
        <w:t>90.5%</w:t>
      </w:r>
      <w:r w:rsidRPr="007072FB">
        <w:rPr>
          <w:rFonts w:ascii="Verdana" w:eastAsia="华文细黑" w:hAnsi="Verdana" w:cs="楷体"/>
          <w:color w:val="000000" w:themeColor="text1"/>
          <w:lang w:val="en-GB"/>
        </w:rPr>
        <w:t>，增长</w:t>
      </w:r>
      <w:r w:rsidRPr="007072FB">
        <w:rPr>
          <w:rFonts w:ascii="Verdana" w:eastAsia="华文细黑" w:hAnsi="Verdana" w:cs="楷体"/>
          <w:color w:val="000000" w:themeColor="text1"/>
          <w:lang w:val="en-GB"/>
        </w:rPr>
        <w:t>116.1%</w:t>
      </w:r>
      <w:r w:rsidRPr="007072FB">
        <w:rPr>
          <w:rFonts w:ascii="Verdana" w:eastAsia="华文细黑" w:hAnsi="Verdana" w:cs="楷体"/>
          <w:color w:val="000000" w:themeColor="text1"/>
          <w:lang w:val="en-GB"/>
        </w:rPr>
        <w:t>；加上上级补助收入、债务转贷收入等</w:t>
      </w:r>
      <w:r w:rsidRPr="007072FB">
        <w:rPr>
          <w:rFonts w:ascii="Verdana" w:eastAsia="华文细黑" w:hAnsi="Verdana" w:cs="楷体"/>
          <w:color w:val="000000" w:themeColor="text1"/>
          <w:lang w:val="en-GB"/>
        </w:rPr>
        <w:t>118.5</w:t>
      </w:r>
      <w:r w:rsidRPr="007072FB">
        <w:rPr>
          <w:rFonts w:ascii="Verdana" w:eastAsia="华文细黑" w:hAnsi="Verdana" w:cs="楷体"/>
          <w:color w:val="000000" w:themeColor="text1"/>
          <w:lang w:val="en-GB"/>
        </w:rPr>
        <w:t>亿元，收入总计</w:t>
      </w:r>
      <w:r w:rsidRPr="007072FB">
        <w:rPr>
          <w:rFonts w:ascii="Verdana" w:eastAsia="华文细黑" w:hAnsi="Verdana" w:cs="楷体"/>
          <w:color w:val="000000" w:themeColor="text1"/>
          <w:lang w:val="en-GB"/>
        </w:rPr>
        <w:t>271.8</w:t>
      </w:r>
      <w:r w:rsidRPr="007072FB">
        <w:rPr>
          <w:rFonts w:ascii="Verdana" w:eastAsia="华文细黑" w:hAnsi="Verdana" w:cs="楷体"/>
          <w:color w:val="000000" w:themeColor="text1"/>
          <w:lang w:val="en-GB"/>
        </w:rPr>
        <w:t>亿元。全市地方政府性基金预算支出</w:t>
      </w:r>
      <w:r w:rsidRPr="007072FB">
        <w:rPr>
          <w:rFonts w:ascii="Verdana" w:eastAsia="华文细黑" w:hAnsi="Verdana" w:cs="楷体"/>
          <w:color w:val="000000" w:themeColor="text1"/>
          <w:lang w:val="en-GB"/>
        </w:rPr>
        <w:t>221.5</w:t>
      </w:r>
      <w:r w:rsidRPr="007072FB">
        <w:rPr>
          <w:rFonts w:ascii="Verdana" w:eastAsia="华文细黑" w:hAnsi="Verdana" w:cs="楷体"/>
          <w:color w:val="000000" w:themeColor="text1"/>
          <w:lang w:val="en-GB"/>
        </w:rPr>
        <w:t>亿元，完成年度预算的</w:t>
      </w:r>
      <w:r w:rsidRPr="007072FB">
        <w:rPr>
          <w:rFonts w:ascii="Verdana" w:eastAsia="华文细黑" w:hAnsi="Verdana" w:cs="楷体"/>
          <w:color w:val="000000" w:themeColor="text1"/>
          <w:lang w:val="en-GB"/>
        </w:rPr>
        <w:t>88.1%</w:t>
      </w:r>
      <w:r w:rsidRPr="007072FB">
        <w:rPr>
          <w:rFonts w:ascii="Verdana" w:eastAsia="华文细黑" w:hAnsi="Verdana" w:cs="楷体"/>
          <w:color w:val="000000" w:themeColor="text1"/>
          <w:lang w:val="en-GB"/>
        </w:rPr>
        <w:t>，增长</w:t>
      </w:r>
      <w:r w:rsidRPr="007072FB">
        <w:rPr>
          <w:rFonts w:ascii="Verdana" w:eastAsia="华文细黑" w:hAnsi="Verdana" w:cs="楷体"/>
          <w:color w:val="000000" w:themeColor="text1"/>
          <w:lang w:val="en-GB"/>
        </w:rPr>
        <w:t>28.2%</w:t>
      </w:r>
      <w:r w:rsidRPr="007072FB">
        <w:rPr>
          <w:rFonts w:ascii="Verdana" w:eastAsia="华文细黑" w:hAnsi="Verdana" w:cs="楷体"/>
          <w:color w:val="000000" w:themeColor="text1"/>
          <w:lang w:val="en-GB"/>
        </w:rPr>
        <w:t>；加上债务还本支出、调出资金等</w:t>
      </w:r>
      <w:r w:rsidRPr="007072FB">
        <w:rPr>
          <w:rFonts w:ascii="Verdana" w:eastAsia="华文细黑" w:hAnsi="Verdana" w:cs="楷体"/>
          <w:color w:val="000000" w:themeColor="text1"/>
          <w:lang w:val="en-GB"/>
        </w:rPr>
        <w:t>25.9</w:t>
      </w:r>
      <w:r w:rsidRPr="007072FB">
        <w:rPr>
          <w:rFonts w:ascii="Verdana" w:eastAsia="华文细黑" w:hAnsi="Verdana" w:cs="楷体"/>
          <w:color w:val="000000" w:themeColor="text1"/>
          <w:lang w:val="en-GB"/>
        </w:rPr>
        <w:t>亿元，支出总计</w:t>
      </w:r>
      <w:r w:rsidRPr="007072FB">
        <w:rPr>
          <w:rFonts w:ascii="Verdana" w:eastAsia="华文细黑" w:hAnsi="Verdana" w:cs="楷体"/>
          <w:color w:val="000000" w:themeColor="text1"/>
          <w:lang w:val="en-GB"/>
        </w:rPr>
        <w:t>247.4</w:t>
      </w:r>
      <w:r w:rsidRPr="007072FB">
        <w:rPr>
          <w:rFonts w:ascii="Verdana" w:eastAsia="华文细黑" w:hAnsi="Verdana" w:cs="楷体"/>
          <w:color w:val="000000" w:themeColor="text1"/>
          <w:lang w:val="en-GB"/>
        </w:rPr>
        <w:t>亿元。收支相抵，年终结余结转</w:t>
      </w:r>
      <w:r w:rsidRPr="007072FB">
        <w:rPr>
          <w:rFonts w:ascii="Verdana" w:eastAsia="华文细黑" w:hAnsi="Verdana" w:cs="楷体"/>
          <w:color w:val="000000" w:themeColor="text1"/>
          <w:lang w:val="en-GB"/>
        </w:rPr>
        <w:t>24.4</w:t>
      </w:r>
      <w:r w:rsidRPr="007072FB">
        <w:rPr>
          <w:rFonts w:ascii="Verdana" w:eastAsia="华文细黑" w:hAnsi="Verdana" w:cs="楷体"/>
          <w:color w:val="000000" w:themeColor="text1"/>
          <w:lang w:val="en-GB"/>
        </w:rPr>
        <w:t>亿元。</w:t>
      </w:r>
    </w:p>
    <w:p w14:paraId="340DE7C5" w14:textId="77777777" w:rsidR="000D1B9A" w:rsidRPr="007072FB" w:rsidRDefault="00000000">
      <w:pPr>
        <w:spacing w:before="120" w:after="120" w:line="360" w:lineRule="auto"/>
        <w:outlineLvl w:val="0"/>
        <w:rPr>
          <w:rFonts w:ascii="Verdana" w:eastAsia="华文细黑" w:hAnsi="Verdana" w:cs="Calibri"/>
          <w:b/>
          <w:sz w:val="28"/>
        </w:rPr>
      </w:pPr>
      <w:bookmarkStart w:id="36" w:name="_Toc67291438"/>
      <w:bookmarkStart w:id="37" w:name="_Toc67288041"/>
      <w:bookmarkStart w:id="38" w:name="_Toc44234642"/>
      <w:bookmarkStart w:id="39" w:name="_Toc67236217"/>
      <w:bookmarkStart w:id="40" w:name="_Toc48670854"/>
      <w:bookmarkStart w:id="41" w:name="_Toc135044142"/>
      <w:bookmarkStart w:id="42" w:name="_Toc86675295"/>
      <w:r w:rsidRPr="007072FB">
        <w:rPr>
          <w:rFonts w:ascii="Verdana" w:eastAsia="华文细黑" w:hAnsi="Verdana" w:cs="Calibri"/>
          <w:b/>
          <w:sz w:val="28"/>
        </w:rPr>
        <w:t>5</w:t>
      </w:r>
      <w:r w:rsidRPr="007072FB">
        <w:rPr>
          <w:rFonts w:ascii="Verdana" w:eastAsia="华文细黑" w:hAnsi="Verdana" w:cs="Calibri"/>
          <w:b/>
          <w:sz w:val="28"/>
        </w:rPr>
        <w:t>．地方政府债务情况</w:t>
      </w:r>
      <w:bookmarkEnd w:id="36"/>
      <w:bookmarkEnd w:id="37"/>
      <w:bookmarkEnd w:id="38"/>
      <w:bookmarkEnd w:id="39"/>
      <w:bookmarkEnd w:id="40"/>
      <w:bookmarkEnd w:id="41"/>
      <w:bookmarkEnd w:id="42"/>
    </w:p>
    <w:p w14:paraId="3F1BC8F0" w14:textId="77777777" w:rsidR="000D1B9A" w:rsidRPr="007072FB" w:rsidRDefault="00000000">
      <w:pPr>
        <w:spacing w:before="120" w:after="120" w:line="360" w:lineRule="auto"/>
        <w:ind w:firstLine="454"/>
        <w:jc w:val="both"/>
        <w:rPr>
          <w:rFonts w:ascii="Verdana" w:eastAsia="华文细黑" w:hAnsi="Verdana" w:cs="Calibri"/>
          <w:lang w:val="en-GB"/>
        </w:rPr>
      </w:pPr>
      <w:r w:rsidRPr="007072FB">
        <w:rPr>
          <w:rFonts w:ascii="Verdana" w:eastAsia="华文细黑" w:hAnsi="Verdana" w:cs="Calibri"/>
          <w:lang w:val="en-GB"/>
        </w:rPr>
        <w:t>2020</w:t>
      </w:r>
      <w:r w:rsidRPr="007072FB">
        <w:rPr>
          <w:rFonts w:ascii="Verdana" w:eastAsia="华文细黑" w:hAnsi="Verdana" w:cs="Calibri"/>
          <w:lang w:val="en-GB"/>
        </w:rPr>
        <w:t>年，海南省财政厅下达给三亚市的债务限额为</w:t>
      </w:r>
      <w:r w:rsidRPr="007072FB">
        <w:rPr>
          <w:rFonts w:ascii="Verdana" w:eastAsia="华文细黑" w:hAnsi="Verdana" w:cs="Calibri"/>
          <w:lang w:val="en-GB"/>
        </w:rPr>
        <w:t>353.69</w:t>
      </w:r>
      <w:r w:rsidRPr="007072FB">
        <w:rPr>
          <w:rFonts w:ascii="Verdana" w:eastAsia="华文细黑" w:hAnsi="Verdana" w:cs="Calibri"/>
          <w:lang w:val="en-GB"/>
        </w:rPr>
        <w:t>亿元，其中，一般债务限额</w:t>
      </w:r>
      <w:r w:rsidRPr="007072FB">
        <w:rPr>
          <w:rFonts w:ascii="Verdana" w:eastAsia="华文细黑" w:hAnsi="Verdana" w:cs="Calibri"/>
          <w:lang w:val="en-GB"/>
        </w:rPr>
        <w:t>132.98</w:t>
      </w:r>
      <w:r w:rsidRPr="007072FB">
        <w:rPr>
          <w:rFonts w:ascii="Verdana" w:eastAsia="华文细黑" w:hAnsi="Verdana" w:cs="Calibri"/>
          <w:lang w:val="en-GB"/>
        </w:rPr>
        <w:t>亿元，专项债券限额</w:t>
      </w:r>
      <w:r w:rsidRPr="007072FB">
        <w:rPr>
          <w:rFonts w:ascii="Verdana" w:eastAsia="华文细黑" w:hAnsi="Verdana" w:cs="Calibri"/>
          <w:lang w:val="en-GB"/>
        </w:rPr>
        <w:t>220.71</w:t>
      </w:r>
      <w:r w:rsidRPr="007072FB">
        <w:rPr>
          <w:rFonts w:ascii="Verdana" w:eastAsia="华文细黑" w:hAnsi="Verdana" w:cs="Calibri"/>
          <w:lang w:val="en-GB"/>
        </w:rPr>
        <w:t>亿元。</w:t>
      </w:r>
      <w:r w:rsidRPr="007072FB">
        <w:rPr>
          <w:rFonts w:ascii="Verdana" w:eastAsia="华文细黑" w:hAnsi="Verdana" w:cs="Calibri"/>
          <w:lang w:val="en-GB"/>
        </w:rPr>
        <w:t>2020</w:t>
      </w:r>
      <w:r w:rsidRPr="007072FB">
        <w:rPr>
          <w:rFonts w:ascii="Verdana" w:eastAsia="华文细黑" w:hAnsi="Verdana" w:cs="Calibri"/>
          <w:lang w:val="en-GB"/>
        </w:rPr>
        <w:t>年底三亚市债务余额</w:t>
      </w:r>
      <w:r w:rsidRPr="007072FB">
        <w:rPr>
          <w:rFonts w:ascii="Verdana" w:eastAsia="华文细黑" w:hAnsi="Verdana" w:cs="Calibri"/>
          <w:lang w:val="en-GB"/>
        </w:rPr>
        <w:t>351.76</w:t>
      </w:r>
      <w:r w:rsidRPr="007072FB">
        <w:rPr>
          <w:rFonts w:ascii="Verdana" w:eastAsia="华文细黑" w:hAnsi="Verdana" w:cs="Calibri"/>
          <w:lang w:val="en-GB"/>
        </w:rPr>
        <w:t>亿元，其中一般债务余额</w:t>
      </w:r>
      <w:r w:rsidRPr="007072FB">
        <w:rPr>
          <w:rFonts w:ascii="Verdana" w:eastAsia="华文细黑" w:hAnsi="Verdana" w:cs="Calibri"/>
          <w:lang w:val="en-GB"/>
        </w:rPr>
        <w:t>132.41</w:t>
      </w:r>
      <w:r w:rsidRPr="007072FB">
        <w:rPr>
          <w:rFonts w:ascii="Verdana" w:eastAsia="华文细黑" w:hAnsi="Verdana" w:cs="Calibri"/>
          <w:lang w:val="en-GB"/>
        </w:rPr>
        <w:t>亿元，专项债务余额</w:t>
      </w:r>
      <w:r w:rsidRPr="007072FB">
        <w:rPr>
          <w:rFonts w:ascii="Verdana" w:eastAsia="华文细黑" w:hAnsi="Verdana" w:cs="Calibri"/>
          <w:lang w:val="en-GB"/>
        </w:rPr>
        <w:t>219.35</w:t>
      </w:r>
      <w:r w:rsidRPr="007072FB">
        <w:rPr>
          <w:rFonts w:ascii="Verdana" w:eastAsia="华文细黑" w:hAnsi="Verdana" w:cs="Calibri"/>
          <w:lang w:val="en-GB"/>
        </w:rPr>
        <w:t>亿元。</w:t>
      </w:r>
    </w:p>
    <w:p w14:paraId="27F86818" w14:textId="77777777" w:rsidR="000D1B9A" w:rsidRPr="007072FB" w:rsidRDefault="00000000">
      <w:pPr>
        <w:spacing w:before="120" w:after="120" w:line="360" w:lineRule="auto"/>
        <w:ind w:firstLine="454"/>
        <w:jc w:val="both"/>
        <w:rPr>
          <w:rFonts w:ascii="Verdana" w:eastAsia="华文细黑" w:hAnsi="Verdana" w:cs="Calibri"/>
          <w:lang w:val="en-GB"/>
        </w:rPr>
      </w:pPr>
      <w:r w:rsidRPr="007072FB">
        <w:rPr>
          <w:rFonts w:ascii="Verdana" w:eastAsia="华文细黑" w:hAnsi="Verdana" w:cs="Calibri"/>
          <w:lang w:val="en-GB"/>
        </w:rPr>
        <w:t>2021</w:t>
      </w:r>
      <w:r w:rsidRPr="007072FB">
        <w:rPr>
          <w:rFonts w:ascii="Verdana" w:eastAsia="华文细黑" w:hAnsi="Verdana" w:cs="Calibri"/>
          <w:lang w:val="en-GB"/>
        </w:rPr>
        <w:t>年，海南省财政厅下达给三亚市的债务限额为</w:t>
      </w:r>
      <w:r w:rsidRPr="007072FB">
        <w:rPr>
          <w:rFonts w:ascii="Verdana" w:eastAsia="华文细黑" w:hAnsi="Verdana" w:cs="Calibri"/>
          <w:lang w:val="en-GB"/>
        </w:rPr>
        <w:t>430.97</w:t>
      </w:r>
      <w:r w:rsidRPr="007072FB">
        <w:rPr>
          <w:rFonts w:ascii="Verdana" w:eastAsia="华文细黑" w:hAnsi="Verdana" w:cs="Calibri"/>
          <w:lang w:val="en-GB"/>
        </w:rPr>
        <w:t>亿元，其中，一般限额</w:t>
      </w:r>
      <w:r w:rsidRPr="007072FB">
        <w:rPr>
          <w:rFonts w:ascii="Verdana" w:eastAsia="华文细黑" w:hAnsi="Verdana" w:cs="Calibri"/>
          <w:lang w:val="en-GB"/>
        </w:rPr>
        <w:t>142.69</w:t>
      </w:r>
      <w:r w:rsidRPr="007072FB">
        <w:rPr>
          <w:rFonts w:ascii="Verdana" w:eastAsia="华文细黑" w:hAnsi="Verdana" w:cs="Calibri"/>
          <w:lang w:val="en-GB"/>
        </w:rPr>
        <w:t>亿元，专项限额</w:t>
      </w:r>
      <w:r w:rsidRPr="007072FB">
        <w:rPr>
          <w:rFonts w:ascii="Verdana" w:eastAsia="华文细黑" w:hAnsi="Verdana" w:cs="Calibri"/>
          <w:lang w:val="en-GB"/>
        </w:rPr>
        <w:t>288.28</w:t>
      </w:r>
      <w:r w:rsidRPr="007072FB">
        <w:rPr>
          <w:rFonts w:ascii="Verdana" w:eastAsia="华文细黑" w:hAnsi="Verdana" w:cs="Calibri"/>
          <w:lang w:val="en-GB"/>
        </w:rPr>
        <w:t>亿元。</w:t>
      </w:r>
      <w:r w:rsidRPr="007072FB">
        <w:rPr>
          <w:rFonts w:ascii="Verdana" w:eastAsia="华文细黑" w:hAnsi="Verdana" w:cs="Calibri"/>
          <w:lang w:val="en-GB"/>
        </w:rPr>
        <w:t>2021</w:t>
      </w:r>
      <w:r w:rsidRPr="007072FB">
        <w:rPr>
          <w:rFonts w:ascii="Verdana" w:eastAsia="华文细黑" w:hAnsi="Verdana" w:cs="Calibri"/>
          <w:lang w:val="en-GB"/>
        </w:rPr>
        <w:t>年底三亚市债务余额</w:t>
      </w:r>
      <w:r w:rsidRPr="007072FB">
        <w:rPr>
          <w:rFonts w:ascii="Verdana" w:eastAsia="华文细黑" w:hAnsi="Verdana" w:cs="Calibri"/>
          <w:lang w:val="en-GB"/>
        </w:rPr>
        <w:t>417.54</w:t>
      </w:r>
      <w:r w:rsidRPr="007072FB">
        <w:rPr>
          <w:rFonts w:ascii="Verdana" w:eastAsia="华文细黑" w:hAnsi="Verdana" w:cs="Calibri"/>
          <w:lang w:val="en-GB"/>
        </w:rPr>
        <w:t>亿元，其中一般债务余额</w:t>
      </w:r>
      <w:r w:rsidRPr="007072FB">
        <w:rPr>
          <w:rFonts w:ascii="Verdana" w:eastAsia="华文细黑" w:hAnsi="Verdana" w:cs="Calibri"/>
          <w:lang w:val="en-GB"/>
        </w:rPr>
        <w:t>138.74</w:t>
      </w:r>
      <w:r w:rsidRPr="007072FB">
        <w:rPr>
          <w:rFonts w:ascii="Verdana" w:eastAsia="华文细黑" w:hAnsi="Verdana" w:cs="Calibri"/>
          <w:lang w:val="en-GB"/>
        </w:rPr>
        <w:t>亿元，专项债务余额</w:t>
      </w:r>
      <w:r w:rsidRPr="007072FB">
        <w:rPr>
          <w:rFonts w:ascii="Verdana" w:eastAsia="华文细黑" w:hAnsi="Verdana" w:cs="Calibri"/>
          <w:lang w:val="en-GB"/>
        </w:rPr>
        <w:t>278.80</w:t>
      </w:r>
      <w:r w:rsidRPr="007072FB">
        <w:rPr>
          <w:rFonts w:ascii="Verdana" w:eastAsia="华文细黑" w:hAnsi="Verdana" w:cs="Calibri"/>
          <w:lang w:val="en-GB"/>
        </w:rPr>
        <w:t>亿元。</w:t>
      </w:r>
    </w:p>
    <w:p w14:paraId="7FBE3070" w14:textId="77777777" w:rsidR="000D1B9A" w:rsidRPr="007072FB" w:rsidRDefault="00000000">
      <w:pPr>
        <w:spacing w:before="120" w:after="120" w:line="360" w:lineRule="auto"/>
        <w:ind w:firstLine="454"/>
        <w:jc w:val="both"/>
        <w:rPr>
          <w:rFonts w:ascii="Verdana" w:eastAsia="华文细黑" w:hAnsi="Verdana" w:cs="Calibri"/>
        </w:rPr>
      </w:pPr>
      <w:r w:rsidRPr="007072FB">
        <w:rPr>
          <w:rFonts w:ascii="Verdana" w:eastAsia="华文细黑" w:hAnsi="Verdana" w:cs="Calibri"/>
          <w:lang w:val="en-GB"/>
        </w:rPr>
        <w:t>2022</w:t>
      </w:r>
      <w:r w:rsidRPr="007072FB">
        <w:rPr>
          <w:rFonts w:ascii="Verdana" w:eastAsia="华文细黑" w:hAnsi="Verdana" w:cs="Calibri"/>
          <w:lang w:val="en-GB"/>
        </w:rPr>
        <w:t>年，海南省财政厅下达给三亚市的债务限额为</w:t>
      </w:r>
      <w:r w:rsidRPr="007072FB">
        <w:rPr>
          <w:rFonts w:ascii="Verdana" w:eastAsia="华文细黑" w:hAnsi="Verdana" w:cs="Calibri"/>
          <w:lang w:val="en-GB"/>
        </w:rPr>
        <w:t>513.75</w:t>
      </w:r>
      <w:r w:rsidRPr="007072FB">
        <w:rPr>
          <w:rFonts w:ascii="Verdana" w:eastAsia="华文细黑" w:hAnsi="Verdana" w:cs="Calibri"/>
          <w:lang w:val="en-GB"/>
        </w:rPr>
        <w:t>亿元，其中，一般限额</w:t>
      </w:r>
      <w:r w:rsidRPr="007072FB">
        <w:rPr>
          <w:rFonts w:ascii="Verdana" w:eastAsia="华文细黑" w:hAnsi="Verdana" w:cs="Calibri"/>
          <w:lang w:val="en-GB"/>
        </w:rPr>
        <w:t>148.46</w:t>
      </w:r>
      <w:r w:rsidRPr="007072FB">
        <w:rPr>
          <w:rFonts w:ascii="Verdana" w:eastAsia="华文细黑" w:hAnsi="Verdana" w:cs="Calibri"/>
          <w:lang w:val="en-GB"/>
        </w:rPr>
        <w:t>亿元，专项限额</w:t>
      </w:r>
      <w:r w:rsidRPr="007072FB">
        <w:rPr>
          <w:rFonts w:ascii="Verdana" w:eastAsia="华文细黑" w:hAnsi="Verdana" w:cs="Calibri"/>
          <w:lang w:val="en-GB"/>
        </w:rPr>
        <w:t>365.28</w:t>
      </w:r>
      <w:r w:rsidRPr="007072FB">
        <w:rPr>
          <w:rFonts w:ascii="Verdana" w:eastAsia="华文细黑" w:hAnsi="Verdana" w:cs="Calibri"/>
          <w:lang w:val="en-GB"/>
        </w:rPr>
        <w:t>亿元。</w:t>
      </w:r>
    </w:p>
    <w:p w14:paraId="3E554315" w14:textId="77777777" w:rsidR="000D1B9A" w:rsidRPr="007072FB" w:rsidRDefault="00000000">
      <w:pPr>
        <w:spacing w:before="120" w:after="120" w:line="360" w:lineRule="auto"/>
        <w:jc w:val="both"/>
        <w:outlineLvl w:val="0"/>
        <w:rPr>
          <w:rFonts w:ascii="Verdana" w:eastAsia="华文细黑" w:hAnsi="Verdana" w:cs="Calibri"/>
          <w:b/>
          <w:sz w:val="32"/>
          <w:szCs w:val="32"/>
        </w:rPr>
      </w:pPr>
      <w:bookmarkStart w:id="43" w:name="_Toc135044143"/>
      <w:r w:rsidRPr="007072FB">
        <w:rPr>
          <w:rFonts w:ascii="Verdana" w:eastAsia="华文细黑" w:hAnsi="Verdana" w:cs="Calibri"/>
          <w:b/>
          <w:sz w:val="32"/>
          <w:szCs w:val="32"/>
        </w:rPr>
        <w:t>二、项目概述</w:t>
      </w:r>
      <w:bookmarkEnd w:id="43"/>
    </w:p>
    <w:p w14:paraId="67FB42FC" w14:textId="77777777" w:rsidR="000D1B9A" w:rsidRPr="007072FB" w:rsidRDefault="00000000">
      <w:pPr>
        <w:spacing w:before="120" w:after="120" w:line="360" w:lineRule="auto"/>
        <w:ind w:firstLine="454"/>
        <w:jc w:val="both"/>
        <w:rPr>
          <w:rFonts w:ascii="Verdana" w:eastAsia="华文细黑" w:hAnsi="Verdana" w:cs="Calibri"/>
          <w:lang w:val="en-GB"/>
        </w:rPr>
      </w:pPr>
      <w:r w:rsidRPr="007072FB">
        <w:rPr>
          <w:rFonts w:ascii="Verdana" w:eastAsia="华文细黑" w:hAnsi="Verdana" w:cs="Calibri"/>
          <w:lang w:val="en-GB"/>
        </w:rPr>
        <w:t>三亚又称</w:t>
      </w:r>
      <w:r w:rsidRPr="007072FB">
        <w:rPr>
          <w:rFonts w:ascii="Verdana" w:eastAsia="华文细黑" w:hAnsi="Verdana" w:cs="Calibri"/>
          <w:lang w:val="en-GB"/>
        </w:rPr>
        <w:t>“</w:t>
      </w:r>
      <w:r w:rsidRPr="007072FB">
        <w:rPr>
          <w:rFonts w:ascii="Verdana" w:eastAsia="华文细黑" w:hAnsi="Verdana" w:cs="Calibri"/>
          <w:lang w:val="en-GB"/>
        </w:rPr>
        <w:t>鹿城</w:t>
      </w:r>
      <w:r w:rsidRPr="007072FB">
        <w:rPr>
          <w:rFonts w:ascii="Verdana" w:eastAsia="华文细黑" w:hAnsi="Verdana" w:cs="Calibri"/>
          <w:lang w:val="en-GB"/>
        </w:rPr>
        <w:t>”</w:t>
      </w:r>
      <w:r w:rsidRPr="007072FB">
        <w:rPr>
          <w:rFonts w:ascii="Verdana" w:eastAsia="华文细黑" w:hAnsi="Verdana" w:cs="Calibri"/>
          <w:lang w:val="en-GB"/>
        </w:rPr>
        <w:t>，位于海南岛南端，东邻陵水县，西接乐东县，北</w:t>
      </w:r>
      <w:proofErr w:type="gramStart"/>
      <w:r w:rsidRPr="007072FB">
        <w:rPr>
          <w:rFonts w:ascii="Verdana" w:eastAsia="华文细黑" w:hAnsi="Verdana" w:cs="Calibri"/>
          <w:lang w:val="en-GB"/>
        </w:rPr>
        <w:t>毗</w:t>
      </w:r>
      <w:proofErr w:type="gramEnd"/>
      <w:r w:rsidRPr="007072FB">
        <w:rPr>
          <w:rFonts w:ascii="Verdana" w:eastAsia="华文细黑" w:hAnsi="Verdana" w:cs="Calibri"/>
          <w:lang w:val="en-GB"/>
        </w:rPr>
        <w:t>保亭县，南临南海。</w:t>
      </w:r>
      <w:r w:rsidRPr="007072FB">
        <w:rPr>
          <w:rFonts w:ascii="Verdana" w:eastAsia="华文细黑" w:hAnsi="Verdana" w:cs="Calibri"/>
          <w:lang w:val="en-GB"/>
        </w:rPr>
        <w:t>1984</w:t>
      </w:r>
      <w:r w:rsidRPr="007072FB">
        <w:rPr>
          <w:rFonts w:ascii="Verdana" w:eastAsia="华文细黑" w:hAnsi="Verdana" w:cs="Calibri"/>
          <w:lang w:val="en-GB"/>
        </w:rPr>
        <w:t>年</w:t>
      </w:r>
      <w:r w:rsidRPr="007072FB">
        <w:rPr>
          <w:rFonts w:ascii="Verdana" w:eastAsia="华文细黑" w:hAnsi="Verdana" w:cs="Calibri"/>
          <w:lang w:val="en-GB"/>
        </w:rPr>
        <w:t>5</w:t>
      </w:r>
      <w:r w:rsidRPr="007072FB">
        <w:rPr>
          <w:rFonts w:ascii="Verdana" w:eastAsia="华文细黑" w:hAnsi="Verdana" w:cs="Calibri"/>
          <w:lang w:val="en-GB"/>
        </w:rPr>
        <w:t>月，经国务院批准撤销崖县设立县级三亚市，</w:t>
      </w:r>
      <w:r w:rsidRPr="007072FB">
        <w:rPr>
          <w:rFonts w:ascii="Verdana" w:eastAsia="华文细黑" w:hAnsi="Verdana" w:cs="Calibri"/>
          <w:lang w:val="en-GB"/>
        </w:rPr>
        <w:t>1987</w:t>
      </w:r>
      <w:r w:rsidRPr="007072FB">
        <w:rPr>
          <w:rFonts w:ascii="Verdana" w:eastAsia="华文细黑" w:hAnsi="Verdana" w:cs="Calibri"/>
          <w:lang w:val="en-GB"/>
        </w:rPr>
        <w:t>年三亚升格为地级市。</w:t>
      </w:r>
      <w:r w:rsidRPr="007072FB">
        <w:rPr>
          <w:rFonts w:ascii="Verdana" w:eastAsia="华文细黑" w:hAnsi="Verdana" w:cs="Calibri"/>
          <w:lang w:val="en-GB"/>
        </w:rPr>
        <w:t>2014</w:t>
      </w:r>
      <w:r w:rsidRPr="007072FB">
        <w:rPr>
          <w:rFonts w:ascii="Verdana" w:eastAsia="华文细黑" w:hAnsi="Verdana" w:cs="Calibri"/>
          <w:lang w:val="en-GB"/>
        </w:rPr>
        <w:t>年</w:t>
      </w:r>
      <w:r w:rsidRPr="007072FB">
        <w:rPr>
          <w:rFonts w:ascii="Verdana" w:eastAsia="华文细黑" w:hAnsi="Verdana" w:cs="Calibri"/>
          <w:lang w:val="en-GB"/>
        </w:rPr>
        <w:t>2</w:t>
      </w:r>
      <w:r w:rsidRPr="007072FB">
        <w:rPr>
          <w:rFonts w:ascii="Verdana" w:eastAsia="华文细黑" w:hAnsi="Verdana" w:cs="Calibri"/>
          <w:lang w:val="en-GB"/>
        </w:rPr>
        <w:t>月，国务院批复</w:t>
      </w:r>
      <w:proofErr w:type="gramStart"/>
      <w:r w:rsidRPr="007072FB">
        <w:rPr>
          <w:rFonts w:ascii="Verdana" w:eastAsia="华文细黑" w:hAnsi="Verdana" w:cs="Calibri"/>
          <w:lang w:val="en-GB"/>
        </w:rPr>
        <w:t>三亚市撤六镇</w:t>
      </w:r>
      <w:proofErr w:type="gramEnd"/>
      <w:r w:rsidRPr="007072FB">
        <w:rPr>
          <w:rFonts w:ascii="Verdana" w:eastAsia="华文细黑" w:hAnsi="Verdana" w:cs="Calibri"/>
          <w:lang w:val="en-GB"/>
        </w:rPr>
        <w:t>新设四区，</w:t>
      </w:r>
      <w:r w:rsidRPr="007072FB">
        <w:rPr>
          <w:rFonts w:ascii="Verdana" w:eastAsia="华文细黑" w:hAnsi="Verdana" w:cs="Calibri"/>
          <w:lang w:val="en-GB"/>
        </w:rPr>
        <w:t>2015</w:t>
      </w:r>
      <w:r w:rsidRPr="007072FB">
        <w:rPr>
          <w:rFonts w:ascii="Verdana" w:eastAsia="华文细黑" w:hAnsi="Verdana" w:cs="Calibri"/>
          <w:lang w:val="en-GB"/>
        </w:rPr>
        <w:t>年</w:t>
      </w:r>
      <w:r w:rsidRPr="007072FB">
        <w:rPr>
          <w:rFonts w:ascii="Verdana" w:eastAsia="华文细黑" w:hAnsi="Verdana" w:cs="Calibri"/>
          <w:lang w:val="en-GB"/>
        </w:rPr>
        <w:t>1</w:t>
      </w:r>
      <w:r w:rsidRPr="007072FB">
        <w:rPr>
          <w:rFonts w:ascii="Verdana" w:eastAsia="华文细黑" w:hAnsi="Verdana" w:cs="Calibri"/>
          <w:lang w:val="en-GB"/>
        </w:rPr>
        <w:t>月，三亚市新设立的四个区正式挂牌成立。全市</w:t>
      </w:r>
      <w:proofErr w:type="gramStart"/>
      <w:r w:rsidRPr="007072FB">
        <w:rPr>
          <w:rFonts w:ascii="Verdana" w:eastAsia="华文细黑" w:hAnsi="Verdana" w:cs="Calibri"/>
          <w:lang w:val="en-GB"/>
        </w:rPr>
        <w:t>辖</w:t>
      </w:r>
      <w:proofErr w:type="gramEnd"/>
      <w:r w:rsidRPr="007072FB">
        <w:rPr>
          <w:rFonts w:ascii="Verdana" w:eastAsia="华文细黑" w:hAnsi="Verdana" w:cs="Calibri"/>
          <w:lang w:val="en-GB"/>
        </w:rPr>
        <w:t>海棠、吉阳、天涯、崖州</w:t>
      </w:r>
      <w:r w:rsidRPr="007072FB">
        <w:rPr>
          <w:rFonts w:ascii="Verdana" w:eastAsia="华文细黑" w:hAnsi="Verdana" w:cs="Calibri"/>
          <w:lang w:val="en-GB"/>
        </w:rPr>
        <w:t>4</w:t>
      </w:r>
      <w:r w:rsidRPr="007072FB">
        <w:rPr>
          <w:rFonts w:ascii="Verdana" w:eastAsia="华文细黑" w:hAnsi="Verdana" w:cs="Calibri"/>
          <w:lang w:val="en-GB"/>
        </w:rPr>
        <w:t>个行政区，陆地总面积</w:t>
      </w:r>
      <w:r w:rsidRPr="007072FB">
        <w:rPr>
          <w:rFonts w:ascii="Verdana" w:eastAsia="华文细黑" w:hAnsi="Verdana" w:cs="Calibri"/>
          <w:lang w:val="en-GB"/>
        </w:rPr>
        <w:t>1,921</w:t>
      </w:r>
      <w:r w:rsidRPr="007072FB">
        <w:rPr>
          <w:rFonts w:ascii="Verdana" w:eastAsia="华文细黑" w:hAnsi="Verdana" w:cs="Calibri"/>
          <w:lang w:val="en-GB"/>
        </w:rPr>
        <w:t>平方公里，海域面积</w:t>
      </w:r>
      <w:r w:rsidRPr="007072FB">
        <w:rPr>
          <w:rFonts w:ascii="Verdana" w:eastAsia="华文细黑" w:hAnsi="Verdana" w:cs="Calibri"/>
          <w:lang w:val="en-GB"/>
        </w:rPr>
        <w:t>3,226</w:t>
      </w:r>
      <w:r w:rsidRPr="007072FB">
        <w:rPr>
          <w:rFonts w:ascii="Verdana" w:eastAsia="华文细黑" w:hAnsi="Verdana" w:cs="Calibri"/>
          <w:lang w:val="en-GB"/>
        </w:rPr>
        <w:t>平方公里，共有居委会</w:t>
      </w:r>
      <w:r w:rsidRPr="007072FB">
        <w:rPr>
          <w:rFonts w:ascii="Verdana" w:eastAsia="华文细黑" w:hAnsi="Verdana" w:cs="Calibri"/>
          <w:lang w:val="en-GB"/>
        </w:rPr>
        <w:t>57</w:t>
      </w:r>
      <w:r w:rsidRPr="007072FB">
        <w:rPr>
          <w:rFonts w:ascii="Verdana" w:eastAsia="华文细黑" w:hAnsi="Verdana" w:cs="Calibri"/>
          <w:lang w:val="en-GB"/>
        </w:rPr>
        <w:t>个，村委会</w:t>
      </w:r>
      <w:r w:rsidRPr="007072FB">
        <w:rPr>
          <w:rFonts w:ascii="Verdana" w:eastAsia="华文细黑" w:hAnsi="Verdana" w:cs="Calibri"/>
          <w:lang w:val="en-GB"/>
        </w:rPr>
        <w:t>92</w:t>
      </w:r>
      <w:r w:rsidRPr="007072FB">
        <w:rPr>
          <w:rFonts w:ascii="Verdana" w:eastAsia="华文细黑" w:hAnsi="Verdana" w:cs="Calibri"/>
          <w:lang w:val="en-GB"/>
        </w:rPr>
        <w:t>个，自然村</w:t>
      </w:r>
      <w:r w:rsidRPr="007072FB">
        <w:rPr>
          <w:rFonts w:ascii="Verdana" w:eastAsia="华文细黑" w:hAnsi="Verdana" w:cs="Calibri"/>
          <w:lang w:val="en-GB"/>
        </w:rPr>
        <w:t>491</w:t>
      </w:r>
      <w:r w:rsidRPr="007072FB">
        <w:rPr>
          <w:rFonts w:ascii="Verdana" w:eastAsia="华文细黑" w:hAnsi="Verdana" w:cs="Calibri"/>
          <w:lang w:val="en-GB"/>
        </w:rPr>
        <w:t>个。海岸线</w:t>
      </w:r>
      <w:r w:rsidRPr="007072FB">
        <w:rPr>
          <w:rFonts w:ascii="Verdana" w:eastAsia="华文细黑" w:hAnsi="Verdana" w:cs="Calibri"/>
          <w:lang w:val="en-GB"/>
        </w:rPr>
        <w:t>263</w:t>
      </w:r>
      <w:r w:rsidRPr="007072FB">
        <w:rPr>
          <w:rFonts w:ascii="Verdana" w:eastAsia="华文细黑" w:hAnsi="Verdana" w:cs="Calibri"/>
          <w:lang w:val="en-GB"/>
        </w:rPr>
        <w:t>公里，有</w:t>
      </w:r>
      <w:r w:rsidRPr="007072FB">
        <w:rPr>
          <w:rFonts w:ascii="Verdana" w:eastAsia="华文细黑" w:hAnsi="Verdana" w:cs="Calibri"/>
          <w:lang w:val="en-GB"/>
        </w:rPr>
        <w:t>19</w:t>
      </w:r>
      <w:r w:rsidRPr="007072FB">
        <w:rPr>
          <w:rFonts w:ascii="Verdana" w:eastAsia="华文细黑" w:hAnsi="Verdana" w:cs="Calibri"/>
          <w:lang w:val="en-GB"/>
        </w:rPr>
        <w:t>个港湾、</w:t>
      </w:r>
      <w:r w:rsidRPr="007072FB">
        <w:rPr>
          <w:rFonts w:ascii="Verdana" w:eastAsia="华文细黑" w:hAnsi="Verdana" w:cs="Calibri"/>
          <w:lang w:val="en-GB"/>
        </w:rPr>
        <w:t>10</w:t>
      </w:r>
      <w:r w:rsidRPr="007072FB">
        <w:rPr>
          <w:rFonts w:ascii="Verdana" w:eastAsia="华文细黑" w:hAnsi="Verdana" w:cs="Calibri"/>
          <w:lang w:val="en-GB"/>
        </w:rPr>
        <w:t>个主要岛屿、</w:t>
      </w:r>
      <w:r w:rsidRPr="007072FB">
        <w:rPr>
          <w:rFonts w:ascii="Verdana" w:eastAsia="华文细黑" w:hAnsi="Verdana" w:cs="Calibri"/>
          <w:lang w:val="en-GB"/>
        </w:rPr>
        <w:t>11</w:t>
      </w:r>
      <w:r w:rsidRPr="007072FB">
        <w:rPr>
          <w:rFonts w:ascii="Verdana" w:eastAsia="华文细黑" w:hAnsi="Verdana" w:cs="Calibri"/>
          <w:lang w:val="en-GB"/>
        </w:rPr>
        <w:t>条独流入海的河流。城区建成区面积</w:t>
      </w:r>
      <w:r w:rsidRPr="007072FB">
        <w:rPr>
          <w:rFonts w:ascii="Verdana" w:eastAsia="华文细黑" w:hAnsi="Verdana" w:cs="Calibri"/>
          <w:lang w:val="en-GB"/>
        </w:rPr>
        <w:t>53.67</w:t>
      </w:r>
      <w:r w:rsidRPr="007072FB">
        <w:rPr>
          <w:rFonts w:ascii="Verdana" w:eastAsia="华文细黑" w:hAnsi="Verdana" w:cs="Calibri"/>
          <w:lang w:val="en-GB"/>
        </w:rPr>
        <w:t>平方公里。</w:t>
      </w:r>
    </w:p>
    <w:p w14:paraId="43A13874" w14:textId="38FAC668" w:rsidR="00AD53BA" w:rsidRDefault="00AD53BA" w:rsidP="007733E3">
      <w:pPr>
        <w:spacing w:before="120" w:after="120" w:line="360" w:lineRule="auto"/>
        <w:ind w:firstLine="454"/>
        <w:jc w:val="both"/>
        <w:rPr>
          <w:rFonts w:ascii="Verdana" w:eastAsia="华文细黑" w:hAnsi="Verdana" w:cs="Calibri"/>
          <w:lang w:val="en-GB"/>
        </w:rPr>
      </w:pPr>
      <w:r w:rsidRPr="00AD53BA">
        <w:rPr>
          <w:rFonts w:ascii="Verdana" w:eastAsia="华文细黑" w:hAnsi="Verdana" w:cs="Calibri" w:hint="eastAsia"/>
          <w:lang w:val="en-GB"/>
        </w:rPr>
        <w:lastRenderedPageBreak/>
        <w:t>根据《关于印发</w:t>
      </w:r>
      <w:r w:rsidRPr="00AD53BA">
        <w:rPr>
          <w:rFonts w:ascii="Verdana" w:eastAsia="华文细黑" w:hAnsi="Verdana" w:cs="Calibri"/>
          <w:lang w:val="en-GB"/>
        </w:rPr>
        <w:t>&lt;</w:t>
      </w:r>
      <w:r w:rsidRPr="00AD53BA">
        <w:rPr>
          <w:rFonts w:ascii="Verdana" w:eastAsia="华文细黑" w:hAnsi="Verdana" w:cs="Calibri" w:hint="eastAsia"/>
          <w:lang w:val="en-GB"/>
        </w:rPr>
        <w:t>地方政府专项债券用途调整操作指引</w:t>
      </w:r>
      <w:r w:rsidRPr="00AD53BA">
        <w:rPr>
          <w:rFonts w:ascii="Verdana" w:eastAsia="华文细黑" w:hAnsi="Verdana" w:cs="Calibri"/>
          <w:lang w:val="en-GB"/>
        </w:rPr>
        <w:t>&gt;</w:t>
      </w:r>
      <w:r w:rsidRPr="00AD53BA">
        <w:rPr>
          <w:rFonts w:ascii="Verdana" w:eastAsia="华文细黑" w:hAnsi="Verdana" w:cs="Calibri" w:hint="eastAsia"/>
          <w:lang w:val="en-GB"/>
        </w:rPr>
        <w:t>的通知》（财预〔</w:t>
      </w:r>
      <w:r w:rsidRPr="00AD53BA">
        <w:rPr>
          <w:rFonts w:ascii="Verdana" w:eastAsia="华文细黑" w:hAnsi="Verdana" w:cs="Calibri"/>
          <w:lang w:val="en-GB"/>
        </w:rPr>
        <w:t>2021</w:t>
      </w:r>
      <w:r w:rsidRPr="00AD53BA">
        <w:rPr>
          <w:rFonts w:ascii="Verdana" w:eastAsia="华文细黑" w:hAnsi="Verdana" w:cs="Calibri" w:hint="eastAsia"/>
          <w:lang w:val="en-GB"/>
        </w:rPr>
        <w:t>〕</w:t>
      </w:r>
      <w:r w:rsidRPr="00AD53BA">
        <w:rPr>
          <w:rFonts w:ascii="Verdana" w:eastAsia="华文细黑" w:hAnsi="Verdana" w:cs="Calibri"/>
          <w:lang w:val="en-GB"/>
        </w:rPr>
        <w:t>110</w:t>
      </w:r>
      <w:r w:rsidRPr="00AD53BA">
        <w:rPr>
          <w:rFonts w:ascii="Verdana" w:eastAsia="华文细黑" w:hAnsi="Verdana" w:cs="Calibri" w:hint="eastAsia"/>
          <w:lang w:val="en-GB"/>
        </w:rPr>
        <w:t>号）、《地方政府专项债券用途调整操作指引》第五条“专项债券资金已安排的项目，可以申请调整的具体情形包括：（一）项目实施过程中发生重大变化，确无专项债券资金需求或需求少于预期的；”，为了提高债券资金使用效率，</w:t>
      </w:r>
      <w:r w:rsidR="00A936B8">
        <w:rPr>
          <w:rFonts w:ascii="Verdana" w:eastAsia="华文细黑" w:hAnsi="Verdana" w:cs="Calibri" w:hint="eastAsia"/>
          <w:lang w:val="en-GB"/>
        </w:rPr>
        <w:t>拟对</w:t>
      </w:r>
      <w:r w:rsidR="00752B76">
        <w:rPr>
          <w:rFonts w:ascii="Verdana" w:eastAsia="华文细黑" w:hAnsi="Verdana" w:cs="Calibri" w:hint="eastAsia"/>
          <w:lang w:val="en-GB"/>
        </w:rPr>
        <w:t>本项目</w:t>
      </w:r>
      <w:r w:rsidR="00D41808" w:rsidRPr="00D41808">
        <w:rPr>
          <w:rFonts w:ascii="Verdana" w:eastAsia="华文细黑" w:hAnsi="Verdana" w:cs="Calibri" w:hint="eastAsia"/>
          <w:lang w:val="en-GB"/>
        </w:rPr>
        <w:t>三亚市</w:t>
      </w:r>
      <w:r w:rsidR="00D41808" w:rsidRPr="00D41808">
        <w:rPr>
          <w:rFonts w:ascii="Verdana" w:eastAsia="华文细黑" w:hAnsi="Verdana" w:cs="Calibri"/>
          <w:lang w:val="en-GB"/>
        </w:rPr>
        <w:t>2023</w:t>
      </w:r>
      <w:r w:rsidR="00D41808" w:rsidRPr="00D41808">
        <w:rPr>
          <w:rFonts w:ascii="Verdana" w:eastAsia="华文细黑" w:hAnsi="Verdana" w:cs="Calibri" w:hint="eastAsia"/>
          <w:lang w:val="en-GB"/>
        </w:rPr>
        <w:t>年农村饮水巩固提升工程调增</w:t>
      </w:r>
      <w:r w:rsidR="00D41808" w:rsidRPr="00D41808">
        <w:rPr>
          <w:rFonts w:ascii="Verdana" w:eastAsia="华文细黑" w:hAnsi="Verdana" w:cs="Calibri"/>
          <w:lang w:val="en-GB"/>
        </w:rPr>
        <w:t>1,000.00</w:t>
      </w:r>
      <w:r w:rsidR="00D41808" w:rsidRPr="00D41808">
        <w:rPr>
          <w:rFonts w:ascii="Verdana" w:eastAsia="华文细黑" w:hAnsi="Verdana" w:cs="Calibri" w:hint="eastAsia"/>
          <w:lang w:val="en-GB"/>
        </w:rPr>
        <w:t>万元，三亚市鹿回头及</w:t>
      </w:r>
      <w:proofErr w:type="gramStart"/>
      <w:r w:rsidR="00D41808" w:rsidRPr="00D41808">
        <w:rPr>
          <w:rFonts w:ascii="Verdana" w:eastAsia="华文细黑" w:hAnsi="Verdana" w:cs="Calibri" w:hint="eastAsia"/>
          <w:lang w:val="en-GB"/>
        </w:rPr>
        <w:t>红沙南片区</w:t>
      </w:r>
      <w:proofErr w:type="gramEnd"/>
      <w:r w:rsidR="00D41808" w:rsidRPr="00D41808">
        <w:rPr>
          <w:rFonts w:ascii="Verdana" w:eastAsia="华文细黑" w:hAnsi="Verdana" w:cs="Calibri" w:hint="eastAsia"/>
          <w:lang w:val="en-GB"/>
        </w:rPr>
        <w:t>排水管网提质增效工程调增</w:t>
      </w:r>
      <w:r w:rsidR="00D41808" w:rsidRPr="00D41808">
        <w:rPr>
          <w:rFonts w:ascii="Verdana" w:eastAsia="华文细黑" w:hAnsi="Verdana" w:cs="Calibri"/>
          <w:lang w:val="en-GB"/>
        </w:rPr>
        <w:t>500.00</w:t>
      </w:r>
      <w:r w:rsidR="00D41808" w:rsidRPr="00D41808">
        <w:rPr>
          <w:rFonts w:ascii="Verdana" w:eastAsia="华文细黑" w:hAnsi="Verdana" w:cs="Calibri" w:hint="eastAsia"/>
          <w:lang w:val="en-GB"/>
        </w:rPr>
        <w:t>万元</w:t>
      </w:r>
      <w:r w:rsidR="00CC7969">
        <w:rPr>
          <w:rFonts w:ascii="Verdana" w:eastAsia="华文细黑" w:hAnsi="Verdana" w:cs="Calibri" w:hint="eastAsia"/>
          <w:lang w:val="en-GB"/>
        </w:rPr>
        <w:t>（</w:t>
      </w:r>
      <w:r w:rsidR="00CC7969" w:rsidRPr="00AD53BA">
        <w:rPr>
          <w:rFonts w:ascii="Verdana" w:eastAsia="华文细黑" w:hAnsi="Verdana" w:cs="Calibri" w:hint="eastAsia"/>
          <w:lang w:val="en-GB"/>
        </w:rPr>
        <w:t>本期调</w:t>
      </w:r>
      <w:r w:rsidR="00CC7969">
        <w:rPr>
          <w:rFonts w:ascii="Verdana" w:eastAsia="华文细黑" w:hAnsi="Verdana" w:cs="Calibri" w:hint="eastAsia"/>
          <w:lang w:val="en-GB"/>
        </w:rPr>
        <w:t>增</w:t>
      </w:r>
      <w:r w:rsidR="00CC7969" w:rsidRPr="00AD53BA">
        <w:rPr>
          <w:rFonts w:ascii="Verdana" w:eastAsia="华文细黑" w:hAnsi="Verdana" w:cs="Calibri" w:hint="eastAsia"/>
          <w:lang w:val="en-GB"/>
        </w:rPr>
        <w:t>情况详见下方表</w:t>
      </w:r>
      <w:r w:rsidR="00CC7969" w:rsidRPr="00AD53BA">
        <w:rPr>
          <w:rFonts w:ascii="Verdana" w:eastAsia="华文细黑" w:hAnsi="Verdana" w:cs="Calibri"/>
          <w:lang w:val="en-GB"/>
        </w:rPr>
        <w:t>1</w:t>
      </w:r>
      <w:r w:rsidR="00CC7969">
        <w:rPr>
          <w:rFonts w:ascii="Verdana" w:eastAsia="华文细黑" w:hAnsi="Verdana" w:cs="Calibri" w:hint="eastAsia"/>
          <w:lang w:val="en-GB"/>
        </w:rPr>
        <w:t>-1</w:t>
      </w:r>
      <w:r w:rsidR="00CC7969">
        <w:rPr>
          <w:rFonts w:ascii="Verdana" w:eastAsia="华文细黑" w:hAnsi="Verdana" w:cs="Calibri" w:hint="eastAsia"/>
          <w:lang w:val="en-GB"/>
        </w:rPr>
        <w:t>）；</w:t>
      </w:r>
      <w:r w:rsidR="001867ED">
        <w:rPr>
          <w:rFonts w:ascii="Verdana" w:eastAsia="华文细黑" w:hAnsi="Verdana" w:cs="Calibri" w:hint="eastAsia"/>
          <w:lang w:val="en-GB"/>
        </w:rPr>
        <w:t>同时拟对本项目</w:t>
      </w:r>
      <w:r w:rsidR="00752B76" w:rsidRPr="00752B76">
        <w:rPr>
          <w:rFonts w:ascii="Verdana" w:eastAsia="华文细黑" w:hAnsi="Verdana" w:cs="Calibri" w:hint="eastAsia"/>
          <w:lang w:val="en-GB"/>
        </w:rPr>
        <w:t>三亚市抱坡溪东片区排水管网提质增效工程</w:t>
      </w:r>
      <w:r w:rsidR="00E135B5" w:rsidRPr="00E135B5">
        <w:rPr>
          <w:rFonts w:ascii="Verdana" w:eastAsia="华文细黑" w:hAnsi="Verdana" w:cs="Calibri" w:hint="eastAsia"/>
          <w:lang w:val="en-GB"/>
        </w:rPr>
        <w:t>调</w:t>
      </w:r>
      <w:r w:rsidR="00E135B5">
        <w:rPr>
          <w:rFonts w:ascii="Verdana" w:eastAsia="华文细黑" w:hAnsi="Verdana" w:cs="Calibri" w:hint="eastAsia"/>
          <w:lang w:val="en-GB"/>
        </w:rPr>
        <w:t>减</w:t>
      </w:r>
      <w:r w:rsidR="00E135B5" w:rsidRPr="00E135B5">
        <w:rPr>
          <w:rFonts w:ascii="Verdana" w:eastAsia="华文细黑" w:hAnsi="Verdana" w:cs="Calibri"/>
          <w:lang w:val="en-GB"/>
        </w:rPr>
        <w:t>1,000.00</w:t>
      </w:r>
      <w:r w:rsidR="00E135B5" w:rsidRPr="00E135B5">
        <w:rPr>
          <w:rFonts w:ascii="Verdana" w:eastAsia="华文细黑" w:hAnsi="Verdana" w:cs="Calibri" w:hint="eastAsia"/>
          <w:lang w:val="en-GB"/>
        </w:rPr>
        <w:t>万元</w:t>
      </w:r>
      <w:r w:rsidR="00A403EC">
        <w:rPr>
          <w:rStyle w:val="afe"/>
          <w:rFonts w:ascii="Verdana" w:eastAsia="华文细黑" w:hAnsi="Verdana" w:cs="Calibri"/>
          <w:lang w:val="en-GB"/>
        </w:rPr>
        <w:footnoteReference w:id="1"/>
      </w:r>
      <w:r w:rsidR="00E135B5">
        <w:rPr>
          <w:rFonts w:ascii="Verdana" w:eastAsia="华文细黑" w:hAnsi="Verdana" w:cs="Calibri" w:hint="eastAsia"/>
          <w:lang w:val="en-GB"/>
        </w:rPr>
        <w:t>，</w:t>
      </w:r>
      <w:r w:rsidR="00E135B5" w:rsidRPr="00E135B5">
        <w:rPr>
          <w:rFonts w:ascii="Verdana" w:eastAsia="华文细黑" w:hAnsi="Verdana" w:cs="Calibri" w:hint="eastAsia"/>
          <w:lang w:val="en-GB"/>
        </w:rPr>
        <w:t>三亚市棕榈滩污水主干管疏通清理、修复及压力管建设工程调减</w:t>
      </w:r>
      <w:r w:rsidR="00E135B5">
        <w:rPr>
          <w:rFonts w:ascii="Verdana" w:eastAsia="华文细黑" w:hAnsi="Verdana" w:cs="Calibri" w:hint="eastAsia"/>
          <w:lang w:val="en-GB"/>
        </w:rPr>
        <w:t>5</w:t>
      </w:r>
      <w:r w:rsidR="00E135B5" w:rsidRPr="00E135B5">
        <w:rPr>
          <w:rFonts w:ascii="Verdana" w:eastAsia="华文细黑" w:hAnsi="Verdana" w:cs="Calibri"/>
          <w:lang w:val="en-GB"/>
        </w:rPr>
        <w:t>00.00</w:t>
      </w:r>
      <w:r w:rsidR="00E135B5" w:rsidRPr="00E135B5">
        <w:rPr>
          <w:rFonts w:ascii="Verdana" w:eastAsia="华文细黑" w:hAnsi="Verdana" w:cs="Calibri" w:hint="eastAsia"/>
          <w:lang w:val="en-GB"/>
        </w:rPr>
        <w:t>万元</w:t>
      </w:r>
      <w:r w:rsidR="00CC7969">
        <w:rPr>
          <w:rFonts w:ascii="Verdana" w:eastAsia="华文细黑" w:hAnsi="Verdana" w:cs="Calibri" w:hint="eastAsia"/>
          <w:lang w:val="en-GB"/>
        </w:rPr>
        <w:t>（</w:t>
      </w:r>
      <w:r w:rsidRPr="00AD53BA">
        <w:rPr>
          <w:rFonts w:ascii="Verdana" w:eastAsia="华文细黑" w:hAnsi="Verdana" w:cs="Calibri" w:hint="eastAsia"/>
          <w:lang w:val="en-GB"/>
        </w:rPr>
        <w:t>本期调</w:t>
      </w:r>
      <w:r w:rsidR="00CC7969">
        <w:rPr>
          <w:rFonts w:ascii="Verdana" w:eastAsia="华文细黑" w:hAnsi="Verdana" w:cs="Calibri" w:hint="eastAsia"/>
          <w:lang w:val="en-GB"/>
        </w:rPr>
        <w:t>减</w:t>
      </w:r>
      <w:r w:rsidRPr="00AD53BA">
        <w:rPr>
          <w:rFonts w:ascii="Verdana" w:eastAsia="华文细黑" w:hAnsi="Verdana" w:cs="Calibri" w:hint="eastAsia"/>
          <w:lang w:val="en-GB"/>
        </w:rPr>
        <w:t>情况详见下方表</w:t>
      </w:r>
      <w:r w:rsidRPr="00AD53BA">
        <w:rPr>
          <w:rFonts w:ascii="Verdana" w:eastAsia="华文细黑" w:hAnsi="Verdana" w:cs="Calibri"/>
          <w:lang w:val="en-GB"/>
        </w:rPr>
        <w:t>1</w:t>
      </w:r>
      <w:r w:rsidR="00CC7969">
        <w:rPr>
          <w:rFonts w:ascii="Verdana" w:eastAsia="华文细黑" w:hAnsi="Verdana" w:cs="Calibri" w:hint="eastAsia"/>
          <w:lang w:val="en-GB"/>
        </w:rPr>
        <w:t>-2</w:t>
      </w:r>
      <w:r w:rsidR="00CC7969">
        <w:rPr>
          <w:rFonts w:ascii="Verdana" w:eastAsia="华文细黑" w:hAnsi="Verdana" w:cs="Calibri" w:hint="eastAsia"/>
          <w:lang w:val="en-GB"/>
        </w:rPr>
        <w:t>）</w:t>
      </w:r>
      <w:r w:rsidRPr="00AD53BA">
        <w:rPr>
          <w:rFonts w:ascii="Verdana" w:eastAsia="华文细黑" w:hAnsi="Verdana" w:cs="Calibri" w:hint="eastAsia"/>
          <w:lang w:val="en-GB"/>
        </w:rPr>
        <w:t>。</w:t>
      </w:r>
    </w:p>
    <w:p w14:paraId="02EC5BB6" w14:textId="1D98B848" w:rsidR="001936FB" w:rsidRPr="007072FB" w:rsidRDefault="00B824F1" w:rsidP="007733E3">
      <w:pPr>
        <w:spacing w:before="120" w:after="120" w:line="360" w:lineRule="auto"/>
        <w:ind w:firstLine="454"/>
        <w:jc w:val="both"/>
        <w:rPr>
          <w:rFonts w:ascii="Verdana" w:eastAsia="华文细黑" w:hAnsi="Verdana" w:cs="Calibri"/>
          <w:lang w:val="en-GB"/>
        </w:rPr>
      </w:pPr>
      <w:r>
        <w:rPr>
          <w:rFonts w:ascii="Verdana" w:eastAsia="华文细黑" w:hAnsi="Verdana" w:cs="Calibri" w:hint="eastAsia"/>
          <w:lang w:val="en-GB"/>
        </w:rPr>
        <w:t>本项目</w:t>
      </w:r>
      <w:r>
        <w:rPr>
          <w:rStyle w:val="afe"/>
          <w:rFonts w:ascii="Verdana" w:eastAsia="华文细黑" w:hAnsi="Verdana" w:cs="Calibri"/>
          <w:lang w:val="en-GB"/>
        </w:rPr>
        <w:footnoteReference w:id="2"/>
      </w:r>
      <w:r w:rsidR="007733E3" w:rsidRPr="007072FB">
        <w:rPr>
          <w:rFonts w:ascii="Verdana" w:eastAsia="华文细黑" w:hAnsi="Verdana" w:cs="Calibri"/>
          <w:lang w:val="en-GB"/>
        </w:rPr>
        <w:t>符合国家政策和三亚市基础设施事业的发展，此次</w:t>
      </w:r>
      <w:proofErr w:type="gramStart"/>
      <w:r w:rsidR="007733E3" w:rsidRPr="007072FB">
        <w:rPr>
          <w:rFonts w:ascii="Verdana" w:eastAsia="华文细黑" w:hAnsi="Verdana" w:cs="Calibri"/>
          <w:lang w:val="en-GB"/>
        </w:rPr>
        <w:t>调剂共</w:t>
      </w:r>
      <w:proofErr w:type="gramEnd"/>
      <w:r w:rsidR="007733E3" w:rsidRPr="007072FB">
        <w:rPr>
          <w:rFonts w:ascii="Verdana" w:eastAsia="华文细黑" w:hAnsi="Verdana" w:cs="Calibri"/>
          <w:lang w:val="en-GB"/>
        </w:rPr>
        <w:t>涉及</w:t>
      </w:r>
      <w:r w:rsidR="00596B2E">
        <w:rPr>
          <w:rFonts w:ascii="Verdana" w:eastAsia="华文细黑" w:hAnsi="Verdana" w:cs="Calibri" w:hint="eastAsia"/>
        </w:rPr>
        <w:t>4</w:t>
      </w:r>
      <w:r w:rsidR="007733E3" w:rsidRPr="007072FB">
        <w:rPr>
          <w:rFonts w:ascii="Verdana" w:eastAsia="华文细黑" w:hAnsi="Verdana" w:cs="Calibri"/>
          <w:lang w:val="en-GB"/>
        </w:rPr>
        <w:t>个项目</w:t>
      </w:r>
      <w:r w:rsidR="001936FB" w:rsidRPr="007072FB">
        <w:rPr>
          <w:rFonts w:ascii="Verdana" w:eastAsia="华文细黑" w:hAnsi="Verdana" w:cs="Calibri"/>
          <w:lang w:val="en-GB"/>
        </w:rPr>
        <w:t>。</w:t>
      </w:r>
    </w:p>
    <w:p w14:paraId="0F1AED3E" w14:textId="3796B003" w:rsidR="00690B40" w:rsidRPr="00C85078" w:rsidRDefault="00F61B91" w:rsidP="00C85078">
      <w:pPr>
        <w:pStyle w:val="aff"/>
        <w:numPr>
          <w:ilvl w:val="0"/>
          <w:numId w:val="3"/>
        </w:numPr>
        <w:spacing w:before="120" w:after="120" w:line="360" w:lineRule="auto"/>
        <w:jc w:val="both"/>
        <w:rPr>
          <w:rFonts w:ascii="Verdana" w:eastAsia="华文细黑" w:hAnsi="Verdana" w:cs="Calibri"/>
          <w:lang w:val="en-GB"/>
        </w:rPr>
      </w:pPr>
      <w:r w:rsidRPr="00C85078">
        <w:rPr>
          <w:rFonts w:ascii="Verdana" w:eastAsia="华文细黑" w:hAnsi="Verdana" w:cs="Calibri" w:hint="eastAsia"/>
          <w:lang w:val="en-GB"/>
        </w:rPr>
        <w:t>项目基本情况：</w:t>
      </w:r>
    </w:p>
    <w:p w14:paraId="4C9C679F" w14:textId="274EDE9A" w:rsidR="00F61B91" w:rsidRPr="007072FB" w:rsidRDefault="00ED19BF" w:rsidP="003C3C26">
      <w:pPr>
        <w:spacing w:before="120" w:after="120" w:line="360" w:lineRule="auto"/>
        <w:ind w:firstLine="454"/>
        <w:jc w:val="both"/>
        <w:rPr>
          <w:rFonts w:ascii="Verdana" w:eastAsia="华文细黑" w:hAnsi="Verdana" w:cs="Calibri"/>
          <w:lang w:val="en-GB"/>
        </w:rPr>
      </w:pPr>
      <w:r>
        <w:rPr>
          <w:rFonts w:ascii="Verdana" w:eastAsia="华文细黑" w:hAnsi="Verdana" w:cs="Calibri" w:hint="eastAsia"/>
          <w:lang w:val="en-GB"/>
        </w:rPr>
        <w:t>（</w:t>
      </w:r>
      <w:r>
        <w:rPr>
          <w:rFonts w:ascii="Verdana" w:eastAsia="华文细黑" w:hAnsi="Verdana" w:cs="Calibri" w:hint="eastAsia"/>
          <w:lang w:val="en-GB"/>
        </w:rPr>
        <w:t>1</w:t>
      </w:r>
      <w:r>
        <w:rPr>
          <w:rFonts w:ascii="Verdana" w:eastAsia="华文细黑" w:hAnsi="Verdana" w:cs="Calibri" w:hint="eastAsia"/>
          <w:lang w:val="en-GB"/>
        </w:rPr>
        <w:t>）</w:t>
      </w:r>
      <w:r w:rsidR="00F61B91" w:rsidRPr="007072FB">
        <w:rPr>
          <w:rFonts w:ascii="Verdana" w:eastAsia="华文细黑" w:hAnsi="Verdana" w:cs="Calibri"/>
          <w:lang w:val="en-GB"/>
        </w:rPr>
        <w:t>项目名称：</w:t>
      </w:r>
      <w:r w:rsidRPr="00ED19BF">
        <w:rPr>
          <w:rFonts w:ascii="Verdana" w:eastAsia="华文细黑" w:hAnsi="Verdana" w:cs="Calibri" w:hint="eastAsia"/>
          <w:lang w:val="en-GB"/>
        </w:rPr>
        <w:t>三亚市</w:t>
      </w:r>
      <w:r w:rsidRPr="00ED19BF">
        <w:rPr>
          <w:rFonts w:ascii="Verdana" w:eastAsia="华文细黑" w:hAnsi="Verdana" w:cs="Calibri"/>
          <w:lang w:val="en-GB"/>
        </w:rPr>
        <w:t>2023</w:t>
      </w:r>
      <w:r w:rsidRPr="00ED19BF">
        <w:rPr>
          <w:rFonts w:ascii="Verdana" w:eastAsia="华文细黑" w:hAnsi="Verdana" w:cs="Calibri" w:hint="eastAsia"/>
          <w:lang w:val="en-GB"/>
        </w:rPr>
        <w:t>年农村饮水巩固提升工程</w:t>
      </w:r>
      <w:r w:rsidR="00E135B5">
        <w:rPr>
          <w:rFonts w:ascii="Verdana" w:eastAsia="华文细黑" w:hAnsi="Verdana" w:cs="Calibri" w:hint="eastAsia"/>
          <w:lang w:val="en-GB"/>
        </w:rPr>
        <w:t>（本期调增）</w:t>
      </w:r>
    </w:p>
    <w:p w14:paraId="27401B9A" w14:textId="77777777" w:rsidR="00F61B91" w:rsidRPr="007072FB" w:rsidRDefault="00F61B91" w:rsidP="003C3C26">
      <w:pPr>
        <w:spacing w:before="120" w:after="120" w:line="360" w:lineRule="auto"/>
        <w:ind w:firstLine="454"/>
        <w:jc w:val="both"/>
        <w:rPr>
          <w:rFonts w:ascii="Verdana" w:eastAsia="华文细黑" w:hAnsi="Verdana" w:cs="Calibri"/>
          <w:lang w:val="en-GB"/>
        </w:rPr>
      </w:pPr>
      <w:r w:rsidRPr="00EB15AA">
        <w:rPr>
          <w:rFonts w:ascii="Verdana" w:eastAsia="华文细黑" w:hAnsi="Verdana" w:cs="Calibri"/>
          <w:lang w:val="en-GB"/>
        </w:rPr>
        <w:t>项目单位：三亚环通工程管理有限公司</w:t>
      </w:r>
    </w:p>
    <w:p w14:paraId="616F9871" w14:textId="04D9595C" w:rsidR="00F61B91" w:rsidRPr="007072FB" w:rsidRDefault="00F61B91" w:rsidP="003C3C26">
      <w:pPr>
        <w:spacing w:before="120" w:after="120" w:line="360" w:lineRule="auto"/>
        <w:ind w:firstLine="454"/>
        <w:jc w:val="both"/>
        <w:rPr>
          <w:rFonts w:ascii="Verdana" w:eastAsia="华文细黑" w:hAnsi="Verdana" w:cs="Calibri"/>
          <w:lang w:val="en-GB"/>
        </w:rPr>
      </w:pPr>
      <w:r w:rsidRPr="007072FB">
        <w:rPr>
          <w:rFonts w:ascii="Verdana" w:eastAsia="华文细黑" w:hAnsi="Verdana" w:cs="Calibri"/>
          <w:lang w:val="en-GB"/>
        </w:rPr>
        <w:t>项目建设期：</w:t>
      </w:r>
      <w:r w:rsidR="00B02470" w:rsidRPr="00B02470">
        <w:rPr>
          <w:rFonts w:ascii="Verdana" w:eastAsia="华文细黑" w:hAnsi="Verdana" w:cs="Calibri"/>
          <w:lang w:val="en-GB"/>
        </w:rPr>
        <w:t>2024</w:t>
      </w:r>
      <w:r w:rsidR="00B02470" w:rsidRPr="00B02470">
        <w:rPr>
          <w:rFonts w:ascii="Verdana" w:eastAsia="华文细黑" w:hAnsi="Verdana" w:cs="Calibri" w:hint="eastAsia"/>
          <w:lang w:val="en-GB"/>
        </w:rPr>
        <w:t>年</w:t>
      </w:r>
      <w:r w:rsidR="00B02470" w:rsidRPr="00B02470">
        <w:rPr>
          <w:rFonts w:ascii="Verdana" w:eastAsia="华文细黑" w:hAnsi="Verdana" w:cs="Calibri"/>
          <w:lang w:val="en-GB"/>
        </w:rPr>
        <w:t>7</w:t>
      </w:r>
      <w:r w:rsidR="00B02470" w:rsidRPr="00B02470">
        <w:rPr>
          <w:rFonts w:ascii="Verdana" w:eastAsia="华文细黑" w:hAnsi="Verdana" w:cs="Calibri" w:hint="eastAsia"/>
          <w:lang w:val="en-GB"/>
        </w:rPr>
        <w:t>月</w:t>
      </w:r>
      <w:r w:rsidR="00B02470" w:rsidRPr="00B02470">
        <w:rPr>
          <w:rFonts w:ascii="Verdana" w:eastAsia="华文细黑" w:hAnsi="Verdana" w:cs="Calibri"/>
          <w:lang w:val="en-GB"/>
        </w:rPr>
        <w:t>-2025</w:t>
      </w:r>
      <w:r w:rsidR="00B02470" w:rsidRPr="00B02470">
        <w:rPr>
          <w:rFonts w:ascii="Verdana" w:eastAsia="华文细黑" w:hAnsi="Verdana" w:cs="Calibri" w:hint="eastAsia"/>
          <w:lang w:val="en-GB"/>
        </w:rPr>
        <w:t>年</w:t>
      </w:r>
      <w:r w:rsidR="00B02470" w:rsidRPr="00B02470">
        <w:rPr>
          <w:rFonts w:ascii="Verdana" w:eastAsia="华文细黑" w:hAnsi="Verdana" w:cs="Calibri"/>
          <w:lang w:val="en-GB"/>
        </w:rPr>
        <w:t>4</w:t>
      </w:r>
      <w:r w:rsidR="00B02470" w:rsidRPr="00B02470">
        <w:rPr>
          <w:rFonts w:ascii="Verdana" w:eastAsia="华文细黑" w:hAnsi="Verdana" w:cs="Calibri" w:hint="eastAsia"/>
          <w:lang w:val="en-GB"/>
        </w:rPr>
        <w:t>月</w:t>
      </w:r>
    </w:p>
    <w:p w14:paraId="11381B6B" w14:textId="77777777" w:rsidR="00F61B91" w:rsidRPr="007072FB" w:rsidRDefault="00F61B91" w:rsidP="003C3C26">
      <w:pPr>
        <w:spacing w:before="120" w:after="120" w:line="360" w:lineRule="auto"/>
        <w:ind w:firstLine="454"/>
        <w:jc w:val="both"/>
        <w:rPr>
          <w:rFonts w:ascii="Verdana" w:eastAsia="华文细黑" w:hAnsi="Verdana" w:cs="Calibri"/>
          <w:lang w:val="en-GB"/>
        </w:rPr>
      </w:pPr>
      <w:r w:rsidRPr="007072FB">
        <w:rPr>
          <w:rFonts w:ascii="Verdana" w:eastAsia="华文细黑" w:hAnsi="Verdana" w:cs="Calibri"/>
          <w:lang w:val="en-GB"/>
        </w:rPr>
        <w:t>主要建设内容及建设规模：</w:t>
      </w:r>
    </w:p>
    <w:p w14:paraId="3274A78C" w14:textId="10A31E6F" w:rsidR="004C0F2B" w:rsidRPr="004C0F2B" w:rsidRDefault="004C0F2B" w:rsidP="004C0F2B">
      <w:pPr>
        <w:spacing w:before="120" w:after="120" w:line="360" w:lineRule="auto"/>
        <w:ind w:firstLine="454"/>
        <w:jc w:val="both"/>
        <w:rPr>
          <w:rFonts w:ascii="Verdana" w:eastAsia="华文细黑" w:hAnsi="Verdana" w:cs="Calibri"/>
          <w:lang w:val="en-GB"/>
        </w:rPr>
      </w:pPr>
      <w:r w:rsidRPr="004C0F2B">
        <w:rPr>
          <w:rFonts w:ascii="Verdana" w:eastAsia="华文细黑" w:hAnsi="Verdana" w:cs="Calibri" w:hint="eastAsia"/>
          <w:lang w:val="en-GB"/>
        </w:rPr>
        <w:t>本项目三亚市</w:t>
      </w:r>
      <w:r w:rsidRPr="004C0F2B">
        <w:rPr>
          <w:rFonts w:ascii="Verdana" w:eastAsia="华文细黑" w:hAnsi="Verdana" w:cs="Calibri"/>
          <w:lang w:val="en-GB"/>
        </w:rPr>
        <w:t>2023</w:t>
      </w:r>
      <w:r w:rsidRPr="004C0F2B">
        <w:rPr>
          <w:rFonts w:ascii="Verdana" w:eastAsia="华文细黑" w:hAnsi="Verdana" w:cs="Calibri" w:hint="eastAsia"/>
          <w:lang w:val="en-GB"/>
        </w:rPr>
        <w:t>年农村饮水巩固提升工程覆盖人口数约</w:t>
      </w:r>
      <w:r w:rsidRPr="004C0F2B">
        <w:rPr>
          <w:rFonts w:ascii="Verdana" w:eastAsia="华文细黑" w:hAnsi="Verdana" w:cs="Calibri"/>
          <w:lang w:val="en-GB"/>
        </w:rPr>
        <w:t>21,088</w:t>
      </w:r>
      <w:r w:rsidRPr="004C0F2B">
        <w:rPr>
          <w:rFonts w:ascii="Verdana" w:eastAsia="华文细黑" w:hAnsi="Verdana" w:cs="Calibri" w:hint="eastAsia"/>
          <w:lang w:val="en-GB"/>
        </w:rPr>
        <w:t>人，户数约</w:t>
      </w:r>
      <w:r w:rsidRPr="004C0F2B">
        <w:rPr>
          <w:rFonts w:ascii="Verdana" w:eastAsia="华文细黑" w:hAnsi="Verdana" w:cs="Calibri"/>
          <w:lang w:val="en-GB"/>
        </w:rPr>
        <w:t>5,346</w:t>
      </w:r>
      <w:r w:rsidRPr="004C0F2B">
        <w:rPr>
          <w:rFonts w:ascii="Verdana" w:eastAsia="华文细黑" w:hAnsi="Verdana" w:cs="Calibri" w:hint="eastAsia"/>
          <w:lang w:val="en-GB"/>
        </w:rPr>
        <w:t>户，供水总规模约</w:t>
      </w:r>
      <w:r w:rsidRPr="004C0F2B">
        <w:rPr>
          <w:rFonts w:ascii="Verdana" w:eastAsia="华文细黑" w:hAnsi="Verdana" w:cs="Calibri"/>
          <w:lang w:val="en-GB"/>
        </w:rPr>
        <w:t>10,783.9m</w:t>
      </w:r>
      <w:r w:rsidRPr="00C85078">
        <w:rPr>
          <w:rFonts w:ascii="Verdana" w:eastAsia="华文细黑" w:hAnsi="Verdana" w:cs="Calibri"/>
          <w:vertAlign w:val="superscript"/>
          <w:lang w:val="en-GB"/>
        </w:rPr>
        <w:t>3</w:t>
      </w:r>
      <w:r w:rsidRPr="004C0F2B">
        <w:rPr>
          <w:rFonts w:ascii="Verdana" w:eastAsia="华文细黑" w:hAnsi="Verdana" w:cs="Calibri"/>
          <w:lang w:val="en-GB"/>
        </w:rPr>
        <w:t>/d</w:t>
      </w:r>
      <w:r w:rsidRPr="004C0F2B">
        <w:rPr>
          <w:rFonts w:ascii="Verdana" w:eastAsia="华文细黑" w:hAnsi="Verdana" w:cs="Calibri" w:hint="eastAsia"/>
          <w:lang w:val="en-GB"/>
        </w:rPr>
        <w:t>。拟敷设</w:t>
      </w:r>
      <w:r w:rsidRPr="004C0F2B">
        <w:rPr>
          <w:rFonts w:ascii="Verdana" w:eastAsia="华文细黑" w:hAnsi="Verdana" w:cs="Calibri"/>
          <w:lang w:val="en-GB"/>
        </w:rPr>
        <w:t>DN20~DN150PE100</w:t>
      </w:r>
      <w:r w:rsidRPr="004C0F2B">
        <w:rPr>
          <w:rFonts w:ascii="Verdana" w:eastAsia="华文细黑" w:hAnsi="Verdana" w:cs="Calibri" w:hint="eastAsia"/>
          <w:lang w:val="en-GB"/>
        </w:rPr>
        <w:t>管</w:t>
      </w:r>
      <w:r w:rsidRPr="004C0F2B">
        <w:rPr>
          <w:rFonts w:ascii="Verdana" w:eastAsia="华文细黑" w:hAnsi="Verdana" w:cs="Calibri"/>
          <w:lang w:val="en-GB"/>
        </w:rPr>
        <w:lastRenderedPageBreak/>
        <w:t>11.853km</w:t>
      </w:r>
      <w:r w:rsidRPr="004C0F2B">
        <w:rPr>
          <w:rFonts w:ascii="Verdana" w:eastAsia="华文细黑" w:hAnsi="Verdana" w:cs="Calibri" w:hint="eastAsia"/>
          <w:lang w:val="en-GB"/>
        </w:rPr>
        <w:t>，</w:t>
      </w:r>
      <w:r w:rsidRPr="004C0F2B">
        <w:rPr>
          <w:rFonts w:ascii="Verdana" w:eastAsia="华文细黑" w:hAnsi="Verdana" w:cs="Calibri"/>
          <w:lang w:val="en-GB"/>
        </w:rPr>
        <w:t>DN20~DN100PE</w:t>
      </w:r>
      <w:proofErr w:type="gramStart"/>
      <w:r w:rsidRPr="004C0F2B">
        <w:rPr>
          <w:rFonts w:ascii="Verdana" w:eastAsia="华文细黑" w:hAnsi="Verdana" w:cs="Calibri" w:hint="eastAsia"/>
          <w:lang w:val="en-GB"/>
        </w:rPr>
        <w:t>衬塑钢管</w:t>
      </w:r>
      <w:proofErr w:type="gramEnd"/>
      <w:r w:rsidRPr="004C0F2B">
        <w:rPr>
          <w:rFonts w:ascii="Verdana" w:eastAsia="华文细黑" w:hAnsi="Verdana" w:cs="Calibri"/>
          <w:lang w:val="en-GB"/>
        </w:rPr>
        <w:t>167.683km</w:t>
      </w:r>
      <w:r w:rsidRPr="004C0F2B">
        <w:rPr>
          <w:rFonts w:ascii="Verdana" w:eastAsia="华文细黑" w:hAnsi="Verdana" w:cs="Calibri" w:hint="eastAsia"/>
          <w:lang w:val="en-GB"/>
        </w:rPr>
        <w:t>，</w:t>
      </w:r>
      <w:r w:rsidRPr="004C0F2B">
        <w:rPr>
          <w:rFonts w:ascii="Verdana" w:eastAsia="华文细黑" w:hAnsi="Verdana" w:cs="Calibri"/>
          <w:lang w:val="en-GB"/>
        </w:rPr>
        <w:t>DN150~DN300</w:t>
      </w:r>
      <w:r w:rsidRPr="004C0F2B">
        <w:rPr>
          <w:rFonts w:ascii="Verdana" w:eastAsia="华文细黑" w:hAnsi="Verdana" w:cs="Calibri" w:hint="eastAsia"/>
          <w:lang w:val="en-GB"/>
        </w:rPr>
        <w:t>球墨铸铁管</w:t>
      </w:r>
      <w:r w:rsidRPr="004C0F2B">
        <w:rPr>
          <w:rFonts w:ascii="Verdana" w:eastAsia="华文细黑" w:hAnsi="Verdana" w:cs="Calibri"/>
          <w:lang w:val="en-GB"/>
        </w:rPr>
        <w:t>6.209km</w:t>
      </w:r>
      <w:r w:rsidRPr="004C0F2B">
        <w:rPr>
          <w:rFonts w:ascii="Verdana" w:eastAsia="华文细黑" w:hAnsi="Verdana" w:cs="Calibri" w:hint="eastAsia"/>
          <w:lang w:val="en-GB"/>
        </w:rPr>
        <w:t>，</w:t>
      </w:r>
      <w:r w:rsidRPr="004C0F2B">
        <w:rPr>
          <w:rFonts w:ascii="Verdana" w:eastAsia="华文细黑" w:hAnsi="Verdana" w:cs="Calibri"/>
          <w:lang w:val="en-GB"/>
        </w:rPr>
        <w:t>D114~219</w:t>
      </w:r>
      <w:r w:rsidRPr="004C0F2B">
        <w:rPr>
          <w:rFonts w:ascii="Verdana" w:eastAsia="华文细黑" w:hAnsi="Verdana" w:cs="Calibri" w:hint="eastAsia"/>
          <w:lang w:val="en-GB"/>
        </w:rPr>
        <w:t>过路钢套管</w:t>
      </w:r>
      <w:r w:rsidRPr="004C0F2B">
        <w:rPr>
          <w:rFonts w:ascii="Verdana" w:eastAsia="华文细黑" w:hAnsi="Verdana" w:cs="Calibri"/>
          <w:lang w:val="en-GB"/>
        </w:rPr>
        <w:t>2.951km</w:t>
      </w:r>
      <w:r w:rsidRPr="004C0F2B">
        <w:rPr>
          <w:rFonts w:ascii="Verdana" w:eastAsia="华文细黑" w:hAnsi="Verdana" w:cs="Calibri" w:hint="eastAsia"/>
          <w:lang w:val="en-GB"/>
        </w:rPr>
        <w:t>，</w:t>
      </w:r>
      <w:r w:rsidRPr="004C0F2B">
        <w:rPr>
          <w:rFonts w:ascii="Verdana" w:eastAsia="华文细黑" w:hAnsi="Verdana" w:cs="Calibri"/>
          <w:lang w:val="en-GB"/>
        </w:rPr>
        <w:t>D44~D159</w:t>
      </w:r>
      <w:r w:rsidRPr="004C0F2B">
        <w:rPr>
          <w:rFonts w:ascii="Verdana" w:eastAsia="华文细黑" w:hAnsi="Verdana" w:cs="Calibri" w:hint="eastAsia"/>
          <w:lang w:val="en-GB"/>
        </w:rPr>
        <w:t>明敷无缝钢管</w:t>
      </w:r>
      <w:r w:rsidRPr="004C0F2B">
        <w:rPr>
          <w:rFonts w:ascii="Verdana" w:eastAsia="华文细黑" w:hAnsi="Verdana" w:cs="Calibri"/>
          <w:lang w:val="en-GB"/>
        </w:rPr>
        <w:t>0.225km</w:t>
      </w:r>
      <w:r w:rsidR="00444E36">
        <w:rPr>
          <w:rFonts w:ascii="Verdana" w:eastAsia="华文细黑" w:hAnsi="Verdana" w:cs="Calibri" w:hint="eastAsia"/>
          <w:lang w:val="en-GB"/>
        </w:rPr>
        <w:t>；</w:t>
      </w:r>
      <w:r w:rsidRPr="004C0F2B">
        <w:rPr>
          <w:rFonts w:ascii="Verdana" w:eastAsia="华文细黑" w:hAnsi="Verdana" w:cs="Calibri" w:hint="eastAsia"/>
          <w:lang w:val="en-GB"/>
        </w:rPr>
        <w:t>加压泵站</w:t>
      </w:r>
      <w:r w:rsidRPr="004C0F2B">
        <w:rPr>
          <w:rFonts w:ascii="Verdana" w:eastAsia="华文细黑" w:hAnsi="Verdana" w:cs="Calibri"/>
          <w:lang w:val="en-GB"/>
        </w:rPr>
        <w:t>3</w:t>
      </w:r>
      <w:r w:rsidRPr="004C0F2B">
        <w:rPr>
          <w:rFonts w:ascii="Verdana" w:eastAsia="华文细黑" w:hAnsi="Verdana" w:cs="Calibri" w:hint="eastAsia"/>
          <w:lang w:val="en-GB"/>
        </w:rPr>
        <w:t>座，安装入户无线远传水表</w:t>
      </w:r>
      <w:r w:rsidRPr="004C0F2B">
        <w:rPr>
          <w:rFonts w:ascii="Verdana" w:eastAsia="华文细黑" w:hAnsi="Verdana" w:cs="Calibri"/>
          <w:lang w:val="en-GB"/>
        </w:rPr>
        <w:t>5,346</w:t>
      </w:r>
      <w:r w:rsidRPr="004C0F2B">
        <w:rPr>
          <w:rFonts w:ascii="Verdana" w:eastAsia="华文细黑" w:hAnsi="Verdana" w:cs="Calibri" w:hint="eastAsia"/>
          <w:lang w:val="en-GB"/>
        </w:rPr>
        <w:t>套等。具体规模如下</w:t>
      </w:r>
      <w:r w:rsidR="00444E36">
        <w:rPr>
          <w:rFonts w:ascii="Verdana" w:eastAsia="华文细黑" w:hAnsi="Verdana" w:cs="Calibri" w:hint="eastAsia"/>
          <w:lang w:val="en-GB"/>
        </w:rPr>
        <w:t>：</w:t>
      </w:r>
    </w:p>
    <w:p w14:paraId="404C7535" w14:textId="5CD34457" w:rsidR="004C0F2B" w:rsidRPr="004C0F2B" w:rsidRDefault="004C0F2B" w:rsidP="004C0F2B">
      <w:pPr>
        <w:spacing w:before="120" w:after="120" w:line="360" w:lineRule="auto"/>
        <w:ind w:firstLine="454"/>
        <w:jc w:val="both"/>
        <w:rPr>
          <w:rFonts w:ascii="Verdana" w:eastAsia="华文细黑" w:hAnsi="Verdana" w:cs="Calibri"/>
          <w:lang w:val="en-GB"/>
        </w:rPr>
      </w:pPr>
      <w:r w:rsidRPr="004C0F2B">
        <w:rPr>
          <w:rFonts w:ascii="Verdana" w:eastAsia="华文细黑" w:hAnsi="Verdana" w:cs="Calibri"/>
          <w:lang w:val="en-GB"/>
        </w:rPr>
        <w:t>1</w:t>
      </w:r>
      <w:r w:rsidRPr="004C0F2B">
        <w:rPr>
          <w:rFonts w:ascii="Verdana" w:eastAsia="华文细黑" w:hAnsi="Verdana" w:cs="Calibri" w:hint="eastAsia"/>
          <w:lang w:val="en-GB"/>
        </w:rPr>
        <w:t>）崖州区</w:t>
      </w:r>
      <w:r w:rsidRPr="004C0F2B">
        <w:rPr>
          <w:rFonts w:ascii="Verdana" w:eastAsia="华文细黑" w:hAnsi="Verdana" w:cs="Calibri"/>
          <w:lang w:val="en-GB"/>
        </w:rPr>
        <w:t>:</w:t>
      </w:r>
      <w:r w:rsidRPr="004C0F2B">
        <w:rPr>
          <w:rFonts w:ascii="Verdana" w:eastAsia="华文细黑" w:hAnsi="Verdana" w:cs="Calibri" w:hint="eastAsia"/>
          <w:lang w:val="en-GB"/>
        </w:rPr>
        <w:t>拟新建供水管道总长</w:t>
      </w:r>
      <w:r w:rsidRPr="004C0F2B">
        <w:rPr>
          <w:rFonts w:ascii="Verdana" w:eastAsia="华文细黑" w:hAnsi="Verdana" w:cs="Calibri"/>
          <w:lang w:val="en-GB"/>
        </w:rPr>
        <w:t>71.08km</w:t>
      </w:r>
      <w:r w:rsidRPr="004C0F2B">
        <w:rPr>
          <w:rFonts w:ascii="Verdana" w:eastAsia="华文细黑" w:hAnsi="Verdana" w:cs="Calibri" w:hint="eastAsia"/>
          <w:lang w:val="en-GB"/>
        </w:rPr>
        <w:t>，其中</w:t>
      </w:r>
      <w:r w:rsidRPr="004C0F2B">
        <w:rPr>
          <w:rFonts w:ascii="Verdana" w:eastAsia="华文细黑" w:hAnsi="Verdana" w:cs="Calibri"/>
          <w:lang w:val="en-GB"/>
        </w:rPr>
        <w:t>:</w:t>
      </w:r>
      <w:r w:rsidRPr="004C0F2B">
        <w:rPr>
          <w:rFonts w:ascii="Verdana" w:eastAsia="华文细黑" w:hAnsi="Verdana" w:cs="Calibri" w:hint="eastAsia"/>
          <w:lang w:val="en-GB"/>
        </w:rPr>
        <w:t>敷设</w:t>
      </w:r>
      <w:r w:rsidRPr="004C0F2B">
        <w:rPr>
          <w:rFonts w:ascii="Verdana" w:eastAsia="华文细黑" w:hAnsi="Verdana" w:cs="Calibri"/>
          <w:lang w:val="en-GB"/>
        </w:rPr>
        <w:t>DN40~DN150PE100</w:t>
      </w:r>
      <w:r w:rsidRPr="004C0F2B">
        <w:rPr>
          <w:rFonts w:ascii="Verdana" w:eastAsia="华文细黑" w:hAnsi="Verdana" w:cs="Calibri" w:hint="eastAsia"/>
          <w:lang w:val="en-GB"/>
        </w:rPr>
        <w:t>管</w:t>
      </w:r>
      <w:r w:rsidRPr="004C0F2B">
        <w:rPr>
          <w:rFonts w:ascii="Verdana" w:eastAsia="华文细黑" w:hAnsi="Verdana" w:cs="Calibri"/>
          <w:lang w:val="en-GB"/>
        </w:rPr>
        <w:t>7.308km</w:t>
      </w:r>
      <w:r w:rsidRPr="004C0F2B">
        <w:rPr>
          <w:rFonts w:ascii="Verdana" w:eastAsia="华文细黑" w:hAnsi="Verdana" w:cs="Calibri" w:hint="eastAsia"/>
          <w:lang w:val="en-GB"/>
        </w:rPr>
        <w:t>，</w:t>
      </w:r>
      <w:r w:rsidRPr="004C0F2B">
        <w:rPr>
          <w:rFonts w:ascii="Verdana" w:eastAsia="华文细黑" w:hAnsi="Verdana" w:cs="Calibri"/>
          <w:lang w:val="en-GB"/>
        </w:rPr>
        <w:t>DN40~DN100PE</w:t>
      </w:r>
      <w:proofErr w:type="gramStart"/>
      <w:r w:rsidRPr="004C0F2B">
        <w:rPr>
          <w:rFonts w:ascii="Verdana" w:eastAsia="华文细黑" w:hAnsi="Verdana" w:cs="Calibri" w:hint="eastAsia"/>
          <w:lang w:val="en-GB"/>
        </w:rPr>
        <w:t>衬塑钢管</w:t>
      </w:r>
      <w:proofErr w:type="gramEnd"/>
      <w:r w:rsidRPr="004C0F2B">
        <w:rPr>
          <w:rFonts w:ascii="Verdana" w:eastAsia="华文细黑" w:hAnsi="Verdana" w:cs="Calibri"/>
          <w:lang w:val="en-GB"/>
        </w:rPr>
        <w:t>17.193km</w:t>
      </w:r>
      <w:r w:rsidRPr="004C0F2B">
        <w:rPr>
          <w:rFonts w:ascii="Verdana" w:eastAsia="华文细黑" w:hAnsi="Verdana" w:cs="Calibri" w:hint="eastAsia"/>
          <w:lang w:val="en-GB"/>
        </w:rPr>
        <w:t>，</w:t>
      </w:r>
      <w:r w:rsidRPr="004C0F2B">
        <w:rPr>
          <w:rFonts w:ascii="Verdana" w:eastAsia="华文细黑" w:hAnsi="Verdana" w:cs="Calibri"/>
          <w:lang w:val="en-GB"/>
        </w:rPr>
        <w:t>DN20</w:t>
      </w:r>
      <w:r w:rsidRPr="004C0F2B">
        <w:rPr>
          <w:rFonts w:ascii="Verdana" w:eastAsia="华文细黑" w:hAnsi="Verdana" w:cs="Calibri" w:hint="eastAsia"/>
          <w:lang w:val="en-GB"/>
        </w:rPr>
        <w:t>入户</w:t>
      </w:r>
      <w:r w:rsidRPr="004C0F2B">
        <w:rPr>
          <w:rFonts w:ascii="Verdana" w:eastAsia="华文细黑" w:hAnsi="Verdana" w:cs="Calibri"/>
          <w:lang w:val="en-GB"/>
        </w:rPr>
        <w:t>PE100</w:t>
      </w:r>
      <w:r w:rsidRPr="004C0F2B">
        <w:rPr>
          <w:rFonts w:ascii="Verdana" w:eastAsia="华文细黑" w:hAnsi="Verdana" w:cs="Calibri" w:hint="eastAsia"/>
          <w:lang w:val="en-GB"/>
        </w:rPr>
        <w:t>管</w:t>
      </w:r>
      <w:r w:rsidRPr="004C0F2B">
        <w:rPr>
          <w:rFonts w:ascii="Verdana" w:eastAsia="华文细黑" w:hAnsi="Verdana" w:cs="Calibri"/>
          <w:lang w:val="en-GB"/>
        </w:rPr>
        <w:t>4.545km</w:t>
      </w:r>
      <w:r w:rsidRPr="004C0F2B">
        <w:rPr>
          <w:rFonts w:ascii="Verdana" w:eastAsia="华文细黑" w:hAnsi="Verdana" w:cs="Calibri" w:hint="eastAsia"/>
          <w:lang w:val="en-GB"/>
        </w:rPr>
        <w:t>，</w:t>
      </w:r>
      <w:r w:rsidRPr="004C0F2B">
        <w:rPr>
          <w:rFonts w:ascii="Verdana" w:eastAsia="华文细黑" w:hAnsi="Verdana" w:cs="Calibri"/>
          <w:lang w:val="en-GB"/>
        </w:rPr>
        <w:t>DN20</w:t>
      </w:r>
      <w:r w:rsidRPr="004C0F2B">
        <w:rPr>
          <w:rFonts w:ascii="Verdana" w:eastAsia="华文细黑" w:hAnsi="Verdana" w:cs="Calibri" w:hint="eastAsia"/>
          <w:lang w:val="en-GB"/>
        </w:rPr>
        <w:t>入户</w:t>
      </w:r>
      <w:r w:rsidRPr="004C0F2B">
        <w:rPr>
          <w:rFonts w:ascii="Verdana" w:eastAsia="华文细黑" w:hAnsi="Verdana" w:cs="Calibri"/>
          <w:lang w:val="en-GB"/>
        </w:rPr>
        <w:t>PE</w:t>
      </w:r>
      <w:proofErr w:type="gramStart"/>
      <w:r w:rsidRPr="004C0F2B">
        <w:rPr>
          <w:rFonts w:ascii="Verdana" w:eastAsia="华文细黑" w:hAnsi="Verdana" w:cs="Calibri" w:hint="eastAsia"/>
          <w:lang w:val="en-GB"/>
        </w:rPr>
        <w:t>衬塑钢管</w:t>
      </w:r>
      <w:proofErr w:type="gramEnd"/>
      <w:r w:rsidRPr="004C0F2B">
        <w:rPr>
          <w:rFonts w:ascii="Verdana" w:eastAsia="华文细黑" w:hAnsi="Verdana" w:cs="Calibri"/>
          <w:lang w:val="en-GB"/>
        </w:rPr>
        <w:t>38.8km</w:t>
      </w:r>
      <w:r w:rsidRPr="004C0F2B">
        <w:rPr>
          <w:rFonts w:ascii="Verdana" w:eastAsia="华文细黑" w:hAnsi="Verdana" w:cs="Calibri" w:hint="eastAsia"/>
          <w:lang w:val="en-GB"/>
        </w:rPr>
        <w:t>，</w:t>
      </w:r>
      <w:r w:rsidRPr="004C0F2B">
        <w:rPr>
          <w:rFonts w:ascii="Verdana" w:eastAsia="华文细黑" w:hAnsi="Verdana" w:cs="Calibri"/>
          <w:lang w:val="en-GB"/>
        </w:rPr>
        <w:t>DN200</w:t>
      </w:r>
      <w:r w:rsidRPr="004C0F2B">
        <w:rPr>
          <w:rFonts w:ascii="Verdana" w:eastAsia="华文细黑" w:hAnsi="Verdana" w:cs="Calibri" w:hint="eastAsia"/>
          <w:lang w:val="en-GB"/>
        </w:rPr>
        <w:t>球墨铸铁管</w:t>
      </w:r>
      <w:r w:rsidRPr="004C0F2B">
        <w:rPr>
          <w:rFonts w:ascii="Verdana" w:eastAsia="华文细黑" w:hAnsi="Verdana" w:cs="Calibri"/>
          <w:lang w:val="en-GB"/>
        </w:rPr>
        <w:t>1.744km</w:t>
      </w:r>
      <w:r w:rsidRPr="004C0F2B">
        <w:rPr>
          <w:rFonts w:ascii="Verdana" w:eastAsia="华文细黑" w:hAnsi="Verdana" w:cs="Calibri" w:hint="eastAsia"/>
          <w:lang w:val="en-GB"/>
        </w:rPr>
        <w:t>，</w:t>
      </w:r>
      <w:r w:rsidRPr="004C0F2B">
        <w:rPr>
          <w:rFonts w:ascii="Verdana" w:eastAsia="华文细黑" w:hAnsi="Verdana" w:cs="Calibri"/>
          <w:lang w:val="en-GB"/>
        </w:rPr>
        <w:t>D114~219</w:t>
      </w:r>
      <w:r w:rsidRPr="004C0F2B">
        <w:rPr>
          <w:rFonts w:ascii="Verdana" w:eastAsia="华文细黑" w:hAnsi="Verdana" w:cs="Calibri" w:hint="eastAsia"/>
          <w:lang w:val="en-GB"/>
        </w:rPr>
        <w:t>过路焊接钢管</w:t>
      </w:r>
      <w:r w:rsidRPr="004C0F2B">
        <w:rPr>
          <w:rFonts w:ascii="Verdana" w:eastAsia="华文细黑" w:hAnsi="Verdana" w:cs="Calibri"/>
          <w:lang w:val="en-GB"/>
        </w:rPr>
        <w:t>1.49km</w:t>
      </w:r>
      <w:r w:rsidR="00444E36">
        <w:rPr>
          <w:rFonts w:ascii="Verdana" w:eastAsia="华文细黑" w:hAnsi="Verdana" w:cs="Calibri" w:hint="eastAsia"/>
          <w:lang w:val="en-GB"/>
        </w:rPr>
        <w:t>；</w:t>
      </w:r>
      <w:r w:rsidRPr="004C0F2B">
        <w:rPr>
          <w:rFonts w:ascii="Verdana" w:eastAsia="华文细黑" w:hAnsi="Verdana" w:cs="Calibri" w:hint="eastAsia"/>
          <w:lang w:val="en-GB"/>
        </w:rPr>
        <w:t>安装入户无线远传水表</w:t>
      </w:r>
      <w:r w:rsidRPr="004C0F2B">
        <w:rPr>
          <w:rFonts w:ascii="Verdana" w:eastAsia="华文细黑" w:hAnsi="Verdana" w:cs="Calibri"/>
          <w:lang w:val="en-GB"/>
        </w:rPr>
        <w:t>1,855</w:t>
      </w:r>
      <w:r w:rsidRPr="004C0F2B">
        <w:rPr>
          <w:rFonts w:ascii="Verdana" w:eastAsia="华文细黑" w:hAnsi="Verdana" w:cs="Calibri" w:hint="eastAsia"/>
          <w:lang w:val="en-GB"/>
        </w:rPr>
        <w:t>套。</w:t>
      </w:r>
    </w:p>
    <w:p w14:paraId="503959CE" w14:textId="6523015D" w:rsidR="004C0F2B" w:rsidRPr="004C0F2B" w:rsidRDefault="004C0F2B" w:rsidP="004C0F2B">
      <w:pPr>
        <w:spacing w:before="120" w:after="120" w:line="360" w:lineRule="auto"/>
        <w:ind w:firstLine="454"/>
        <w:jc w:val="both"/>
        <w:rPr>
          <w:rFonts w:ascii="Verdana" w:eastAsia="华文细黑" w:hAnsi="Verdana" w:cs="Calibri"/>
          <w:lang w:val="en-GB"/>
        </w:rPr>
      </w:pPr>
      <w:r w:rsidRPr="004C0F2B">
        <w:rPr>
          <w:rFonts w:ascii="Verdana" w:eastAsia="华文细黑" w:hAnsi="Verdana" w:cs="Calibri"/>
          <w:lang w:val="en-GB"/>
        </w:rPr>
        <w:t>2</w:t>
      </w:r>
      <w:r w:rsidRPr="004C0F2B">
        <w:rPr>
          <w:rFonts w:ascii="Verdana" w:eastAsia="华文细黑" w:hAnsi="Verdana" w:cs="Calibri" w:hint="eastAsia"/>
          <w:lang w:val="en-GB"/>
        </w:rPr>
        <w:t>）天涯区</w:t>
      </w:r>
      <w:r w:rsidRPr="004C0F2B">
        <w:rPr>
          <w:rFonts w:ascii="Verdana" w:eastAsia="华文细黑" w:hAnsi="Verdana" w:cs="Calibri"/>
          <w:lang w:val="en-GB"/>
        </w:rPr>
        <w:t>:</w:t>
      </w:r>
      <w:r w:rsidRPr="004C0F2B">
        <w:rPr>
          <w:rFonts w:ascii="Verdana" w:eastAsia="华文细黑" w:hAnsi="Verdana" w:cs="Calibri" w:hint="eastAsia"/>
          <w:lang w:val="en-GB"/>
        </w:rPr>
        <w:t>拟新建供水管道总长</w:t>
      </w:r>
      <w:r w:rsidRPr="004C0F2B">
        <w:rPr>
          <w:rFonts w:ascii="Verdana" w:eastAsia="华文细黑" w:hAnsi="Verdana" w:cs="Calibri"/>
          <w:lang w:val="en-GB"/>
        </w:rPr>
        <w:t>69.082km</w:t>
      </w:r>
      <w:r w:rsidRPr="004C0F2B">
        <w:rPr>
          <w:rFonts w:ascii="Verdana" w:eastAsia="华文细黑" w:hAnsi="Verdana" w:cs="Calibri" w:hint="eastAsia"/>
          <w:lang w:val="en-GB"/>
        </w:rPr>
        <w:t>，其中</w:t>
      </w:r>
      <w:r w:rsidR="00444E36">
        <w:rPr>
          <w:rFonts w:ascii="Verdana" w:eastAsia="华文细黑" w:hAnsi="Verdana" w:cs="Calibri" w:hint="eastAsia"/>
          <w:lang w:val="en-GB"/>
        </w:rPr>
        <w:t>：</w:t>
      </w:r>
      <w:r w:rsidRPr="004C0F2B">
        <w:rPr>
          <w:rFonts w:ascii="Verdana" w:eastAsia="华文细黑" w:hAnsi="Verdana" w:cs="Calibri" w:hint="eastAsia"/>
          <w:lang w:val="en-GB"/>
        </w:rPr>
        <w:t>敷设</w:t>
      </w:r>
      <w:r w:rsidRPr="004C0F2B">
        <w:rPr>
          <w:rFonts w:ascii="Verdana" w:eastAsia="华文细黑" w:hAnsi="Verdana" w:cs="Calibri"/>
          <w:lang w:val="en-GB"/>
        </w:rPr>
        <w:t>DN40~DN100PE</w:t>
      </w:r>
      <w:proofErr w:type="gramStart"/>
      <w:r w:rsidRPr="004C0F2B">
        <w:rPr>
          <w:rFonts w:ascii="Verdana" w:eastAsia="华文细黑" w:hAnsi="Verdana" w:cs="Calibri" w:hint="eastAsia"/>
          <w:lang w:val="en-GB"/>
        </w:rPr>
        <w:t>衬塑钢管</w:t>
      </w:r>
      <w:proofErr w:type="gramEnd"/>
      <w:r w:rsidRPr="004C0F2B">
        <w:rPr>
          <w:rFonts w:ascii="Verdana" w:eastAsia="华文细黑" w:hAnsi="Verdana" w:cs="Calibri"/>
          <w:lang w:val="en-GB"/>
        </w:rPr>
        <w:t>18.609km</w:t>
      </w:r>
      <w:r w:rsidRPr="004C0F2B">
        <w:rPr>
          <w:rFonts w:ascii="Verdana" w:eastAsia="华文细黑" w:hAnsi="Verdana" w:cs="Calibri" w:hint="eastAsia"/>
          <w:lang w:val="en-GB"/>
        </w:rPr>
        <w:t>，</w:t>
      </w:r>
      <w:r w:rsidRPr="004C0F2B">
        <w:rPr>
          <w:rFonts w:ascii="Verdana" w:eastAsia="华文细黑" w:hAnsi="Verdana" w:cs="Calibri"/>
          <w:lang w:val="en-GB"/>
        </w:rPr>
        <w:t>DN20</w:t>
      </w:r>
      <w:r w:rsidRPr="004C0F2B">
        <w:rPr>
          <w:rFonts w:ascii="Verdana" w:eastAsia="华文细黑" w:hAnsi="Verdana" w:cs="Calibri" w:hint="eastAsia"/>
          <w:lang w:val="en-GB"/>
        </w:rPr>
        <w:t>入户</w:t>
      </w:r>
      <w:r w:rsidRPr="004C0F2B">
        <w:rPr>
          <w:rFonts w:ascii="Verdana" w:eastAsia="华文细黑" w:hAnsi="Verdana" w:cs="Calibri"/>
          <w:lang w:val="en-GB"/>
        </w:rPr>
        <w:t>PE</w:t>
      </w:r>
      <w:proofErr w:type="gramStart"/>
      <w:r w:rsidRPr="004C0F2B">
        <w:rPr>
          <w:rFonts w:ascii="Verdana" w:eastAsia="华文细黑" w:hAnsi="Verdana" w:cs="Calibri" w:hint="eastAsia"/>
          <w:lang w:val="en-GB"/>
        </w:rPr>
        <w:t>衬塑钢管</w:t>
      </w:r>
      <w:proofErr w:type="gramEnd"/>
      <w:r w:rsidRPr="004C0F2B">
        <w:rPr>
          <w:rFonts w:ascii="Verdana" w:eastAsia="华文细黑" w:hAnsi="Verdana" w:cs="Calibri"/>
          <w:lang w:val="en-GB"/>
        </w:rPr>
        <w:t>46.305km</w:t>
      </w:r>
      <w:r w:rsidRPr="004C0F2B">
        <w:rPr>
          <w:rFonts w:ascii="Verdana" w:eastAsia="华文细黑" w:hAnsi="Verdana" w:cs="Calibri" w:hint="eastAsia"/>
          <w:lang w:val="en-GB"/>
        </w:rPr>
        <w:t>，</w:t>
      </w:r>
      <w:r w:rsidRPr="004C0F2B">
        <w:rPr>
          <w:rFonts w:ascii="Verdana" w:eastAsia="华文细黑" w:hAnsi="Verdana" w:cs="Calibri"/>
          <w:lang w:val="en-GB"/>
        </w:rPr>
        <w:t>DN150~DN200</w:t>
      </w:r>
      <w:r w:rsidRPr="004C0F2B">
        <w:rPr>
          <w:rFonts w:ascii="Verdana" w:eastAsia="华文细黑" w:hAnsi="Verdana" w:cs="Calibri" w:hint="eastAsia"/>
          <w:lang w:val="en-GB"/>
        </w:rPr>
        <w:t>球墨铸铁管</w:t>
      </w:r>
      <w:r w:rsidRPr="004C0F2B">
        <w:rPr>
          <w:rFonts w:ascii="Verdana" w:eastAsia="华文细黑" w:hAnsi="Verdana" w:cs="Calibri"/>
          <w:lang w:val="en-GB"/>
        </w:rPr>
        <w:t>3.011km</w:t>
      </w:r>
      <w:r w:rsidRPr="004C0F2B">
        <w:rPr>
          <w:rFonts w:ascii="Verdana" w:eastAsia="华文细黑" w:hAnsi="Verdana" w:cs="Calibri" w:hint="eastAsia"/>
          <w:lang w:val="en-GB"/>
        </w:rPr>
        <w:t>，</w:t>
      </w:r>
      <w:r w:rsidRPr="004C0F2B">
        <w:rPr>
          <w:rFonts w:ascii="Verdana" w:eastAsia="华文细黑" w:hAnsi="Verdana" w:cs="Calibri"/>
          <w:lang w:val="en-GB"/>
        </w:rPr>
        <w:t>D114~219</w:t>
      </w:r>
      <w:r w:rsidRPr="004C0F2B">
        <w:rPr>
          <w:rFonts w:ascii="Verdana" w:eastAsia="华文细黑" w:hAnsi="Verdana" w:cs="Calibri" w:hint="eastAsia"/>
          <w:lang w:val="en-GB"/>
        </w:rPr>
        <w:t>过路焊接钢管</w:t>
      </w:r>
      <w:r w:rsidRPr="004C0F2B">
        <w:rPr>
          <w:rFonts w:ascii="Verdana" w:eastAsia="华文细黑" w:hAnsi="Verdana" w:cs="Calibri"/>
          <w:lang w:val="en-GB"/>
        </w:rPr>
        <w:t>1.002km</w:t>
      </w:r>
      <w:r w:rsidRPr="004C0F2B">
        <w:rPr>
          <w:rFonts w:ascii="Verdana" w:eastAsia="华文细黑" w:hAnsi="Verdana" w:cs="Calibri" w:hint="eastAsia"/>
          <w:lang w:val="en-GB"/>
        </w:rPr>
        <w:t>，</w:t>
      </w:r>
      <w:r w:rsidRPr="004C0F2B">
        <w:rPr>
          <w:rFonts w:ascii="Verdana" w:eastAsia="华文细黑" w:hAnsi="Verdana" w:cs="Calibri"/>
          <w:lang w:val="en-GB"/>
        </w:rPr>
        <w:t>D108~D159</w:t>
      </w:r>
      <w:r w:rsidRPr="004C0F2B">
        <w:rPr>
          <w:rFonts w:ascii="Verdana" w:eastAsia="华文细黑" w:hAnsi="Verdana" w:cs="Calibri" w:hint="eastAsia"/>
          <w:lang w:val="en-GB"/>
        </w:rPr>
        <w:t>明敷无缝钢管</w:t>
      </w:r>
      <w:r w:rsidRPr="004C0F2B">
        <w:rPr>
          <w:rFonts w:ascii="Verdana" w:eastAsia="华文细黑" w:hAnsi="Verdana" w:cs="Calibri"/>
          <w:lang w:val="en-GB"/>
        </w:rPr>
        <w:t>0.155km</w:t>
      </w:r>
      <w:r w:rsidR="00444E36">
        <w:rPr>
          <w:rFonts w:ascii="Verdana" w:eastAsia="华文细黑" w:hAnsi="Verdana" w:cs="Calibri" w:hint="eastAsia"/>
          <w:lang w:val="en-GB"/>
        </w:rPr>
        <w:t>；</w:t>
      </w:r>
      <w:r w:rsidRPr="004C0F2B">
        <w:rPr>
          <w:rFonts w:ascii="Verdana" w:eastAsia="华文细黑" w:hAnsi="Verdana" w:cs="Calibri" w:hint="eastAsia"/>
          <w:lang w:val="en-GB"/>
        </w:rPr>
        <w:t>安装入户无线远传水表</w:t>
      </w:r>
      <w:r w:rsidRPr="004C0F2B">
        <w:rPr>
          <w:rFonts w:ascii="Verdana" w:eastAsia="华文细黑" w:hAnsi="Verdana" w:cs="Calibri"/>
          <w:lang w:val="en-GB"/>
        </w:rPr>
        <w:t>2,607</w:t>
      </w:r>
      <w:r w:rsidRPr="004C0F2B">
        <w:rPr>
          <w:rFonts w:ascii="Verdana" w:eastAsia="华文细黑" w:hAnsi="Verdana" w:cs="Calibri" w:hint="eastAsia"/>
          <w:lang w:val="en-GB"/>
        </w:rPr>
        <w:t>套。</w:t>
      </w:r>
    </w:p>
    <w:p w14:paraId="30808EB8" w14:textId="2AFC9354" w:rsidR="00F61B91" w:rsidRPr="007072FB" w:rsidRDefault="004C0F2B" w:rsidP="004C0F2B">
      <w:pPr>
        <w:spacing w:before="120" w:after="120" w:line="360" w:lineRule="auto"/>
        <w:ind w:firstLine="454"/>
        <w:jc w:val="both"/>
        <w:rPr>
          <w:rFonts w:ascii="Verdana" w:eastAsia="华文细黑" w:hAnsi="Verdana" w:cs="Calibri"/>
          <w:lang w:val="en-GB"/>
        </w:rPr>
      </w:pPr>
      <w:r w:rsidRPr="004C0F2B">
        <w:rPr>
          <w:rFonts w:ascii="Verdana" w:eastAsia="华文细黑" w:hAnsi="Verdana" w:cs="Calibri"/>
          <w:lang w:val="en-GB"/>
        </w:rPr>
        <w:t>3</w:t>
      </w:r>
      <w:r w:rsidRPr="004C0F2B">
        <w:rPr>
          <w:rFonts w:ascii="Verdana" w:eastAsia="华文细黑" w:hAnsi="Verdana" w:cs="Calibri" w:hint="eastAsia"/>
          <w:lang w:val="en-GB"/>
        </w:rPr>
        <w:t>）海棠区</w:t>
      </w:r>
      <w:r w:rsidRPr="004C0F2B">
        <w:rPr>
          <w:rFonts w:ascii="Verdana" w:eastAsia="华文细黑" w:hAnsi="Verdana" w:cs="Calibri"/>
          <w:lang w:val="en-GB"/>
        </w:rPr>
        <w:t>:</w:t>
      </w:r>
      <w:r w:rsidRPr="004C0F2B">
        <w:rPr>
          <w:rFonts w:ascii="Verdana" w:eastAsia="华文细黑" w:hAnsi="Verdana" w:cs="Calibri" w:hint="eastAsia"/>
          <w:lang w:val="en-GB"/>
        </w:rPr>
        <w:t>拟新建供水管道总长</w:t>
      </w:r>
      <w:r w:rsidRPr="004C0F2B">
        <w:rPr>
          <w:rFonts w:ascii="Verdana" w:eastAsia="华文细黑" w:hAnsi="Verdana" w:cs="Calibri"/>
          <w:lang w:val="en-GB"/>
        </w:rPr>
        <w:t>48.759km</w:t>
      </w:r>
      <w:r w:rsidRPr="004C0F2B">
        <w:rPr>
          <w:rFonts w:ascii="Verdana" w:eastAsia="华文细黑" w:hAnsi="Verdana" w:cs="Calibri" w:hint="eastAsia"/>
          <w:lang w:val="en-GB"/>
        </w:rPr>
        <w:t>，其中敷设</w:t>
      </w:r>
      <w:r w:rsidRPr="004C0F2B">
        <w:rPr>
          <w:rFonts w:ascii="Verdana" w:eastAsia="华文细黑" w:hAnsi="Verdana" w:cs="Calibri"/>
          <w:lang w:val="en-GB"/>
        </w:rPr>
        <w:t>DN40~DN100PE</w:t>
      </w:r>
      <w:proofErr w:type="gramStart"/>
      <w:r w:rsidRPr="004C0F2B">
        <w:rPr>
          <w:rFonts w:ascii="Verdana" w:eastAsia="华文细黑" w:hAnsi="Verdana" w:cs="Calibri" w:hint="eastAsia"/>
          <w:lang w:val="en-GB"/>
        </w:rPr>
        <w:t>衬塑钢管</w:t>
      </w:r>
      <w:proofErr w:type="gramEnd"/>
      <w:r w:rsidRPr="004C0F2B">
        <w:rPr>
          <w:rFonts w:ascii="Verdana" w:eastAsia="华文细黑" w:hAnsi="Verdana" w:cs="Calibri"/>
          <w:lang w:val="en-GB"/>
        </w:rPr>
        <w:t>24.676km</w:t>
      </w:r>
      <w:r w:rsidRPr="004C0F2B">
        <w:rPr>
          <w:rFonts w:ascii="Verdana" w:eastAsia="华文细黑" w:hAnsi="Verdana" w:cs="Calibri" w:hint="eastAsia"/>
          <w:lang w:val="en-GB"/>
        </w:rPr>
        <w:t>，</w:t>
      </w:r>
      <w:r w:rsidRPr="004C0F2B">
        <w:rPr>
          <w:rFonts w:ascii="Verdana" w:eastAsia="华文细黑" w:hAnsi="Verdana" w:cs="Calibri"/>
          <w:lang w:val="en-GB"/>
        </w:rPr>
        <w:t>DN20</w:t>
      </w:r>
      <w:r w:rsidRPr="004C0F2B">
        <w:rPr>
          <w:rFonts w:ascii="Verdana" w:eastAsia="华文细黑" w:hAnsi="Verdana" w:cs="Calibri" w:hint="eastAsia"/>
          <w:lang w:val="en-GB"/>
        </w:rPr>
        <w:t>入户</w:t>
      </w:r>
      <w:r w:rsidRPr="004C0F2B">
        <w:rPr>
          <w:rFonts w:ascii="Verdana" w:eastAsia="华文细黑" w:hAnsi="Verdana" w:cs="Calibri"/>
          <w:lang w:val="en-GB"/>
        </w:rPr>
        <w:t>PE</w:t>
      </w:r>
      <w:proofErr w:type="gramStart"/>
      <w:r w:rsidRPr="004C0F2B">
        <w:rPr>
          <w:rFonts w:ascii="Verdana" w:eastAsia="华文细黑" w:hAnsi="Verdana" w:cs="Calibri" w:hint="eastAsia"/>
          <w:lang w:val="en-GB"/>
        </w:rPr>
        <w:t>衬塑钢管</w:t>
      </w:r>
      <w:proofErr w:type="gramEnd"/>
      <w:r w:rsidRPr="004C0F2B">
        <w:rPr>
          <w:rFonts w:ascii="Verdana" w:eastAsia="华文细黑" w:hAnsi="Verdana" w:cs="Calibri"/>
          <w:lang w:val="en-GB"/>
        </w:rPr>
        <w:t>22.1km</w:t>
      </w:r>
      <w:r w:rsidRPr="004C0F2B">
        <w:rPr>
          <w:rFonts w:ascii="Verdana" w:eastAsia="华文细黑" w:hAnsi="Verdana" w:cs="Calibri" w:hint="eastAsia"/>
          <w:lang w:val="en-GB"/>
        </w:rPr>
        <w:t>，</w:t>
      </w:r>
      <w:r w:rsidRPr="004C0F2B">
        <w:rPr>
          <w:rFonts w:ascii="Verdana" w:eastAsia="华文细黑" w:hAnsi="Verdana" w:cs="Calibri"/>
          <w:lang w:val="en-GB"/>
        </w:rPr>
        <w:t>DN150~DN300</w:t>
      </w:r>
      <w:r w:rsidRPr="004C0F2B">
        <w:rPr>
          <w:rFonts w:ascii="Verdana" w:eastAsia="华文细黑" w:hAnsi="Verdana" w:cs="Calibri" w:hint="eastAsia"/>
          <w:lang w:val="en-GB"/>
        </w:rPr>
        <w:t>球墨铸铁管</w:t>
      </w:r>
      <w:r w:rsidRPr="004C0F2B">
        <w:rPr>
          <w:rFonts w:ascii="Verdana" w:eastAsia="华文细黑" w:hAnsi="Verdana" w:cs="Calibri"/>
          <w:lang w:val="en-GB"/>
        </w:rPr>
        <w:t>1.454km</w:t>
      </w:r>
      <w:r w:rsidRPr="004C0F2B">
        <w:rPr>
          <w:rFonts w:ascii="Verdana" w:eastAsia="华文细黑" w:hAnsi="Verdana" w:cs="Calibri" w:hint="eastAsia"/>
          <w:lang w:val="en-GB"/>
        </w:rPr>
        <w:t>，</w:t>
      </w:r>
      <w:r w:rsidRPr="004C0F2B">
        <w:rPr>
          <w:rFonts w:ascii="Verdana" w:eastAsia="华文细黑" w:hAnsi="Verdana" w:cs="Calibri"/>
          <w:lang w:val="en-GB"/>
        </w:rPr>
        <w:t>D114~219</w:t>
      </w:r>
      <w:r w:rsidRPr="004C0F2B">
        <w:rPr>
          <w:rFonts w:ascii="Verdana" w:eastAsia="华文细黑" w:hAnsi="Verdana" w:cs="Calibri" w:hint="eastAsia"/>
          <w:lang w:val="en-GB"/>
        </w:rPr>
        <w:t>过路焊接钢管</w:t>
      </w:r>
      <w:r w:rsidRPr="004C0F2B">
        <w:rPr>
          <w:rFonts w:ascii="Verdana" w:eastAsia="华文细黑" w:hAnsi="Verdana" w:cs="Calibri"/>
          <w:lang w:val="en-GB"/>
        </w:rPr>
        <w:t>0.459km</w:t>
      </w:r>
      <w:r w:rsidRPr="004C0F2B">
        <w:rPr>
          <w:rFonts w:ascii="Verdana" w:eastAsia="华文细黑" w:hAnsi="Verdana" w:cs="Calibri" w:hint="eastAsia"/>
          <w:lang w:val="en-GB"/>
        </w:rPr>
        <w:t>，</w:t>
      </w:r>
      <w:r w:rsidRPr="004C0F2B">
        <w:rPr>
          <w:rFonts w:ascii="Verdana" w:eastAsia="华文细黑" w:hAnsi="Verdana" w:cs="Calibri"/>
          <w:lang w:val="en-GB"/>
        </w:rPr>
        <w:t>D44~D76</w:t>
      </w:r>
      <w:r w:rsidRPr="004C0F2B">
        <w:rPr>
          <w:rFonts w:ascii="Verdana" w:eastAsia="华文细黑" w:hAnsi="Verdana" w:cs="Calibri" w:hint="eastAsia"/>
          <w:lang w:val="en-GB"/>
        </w:rPr>
        <w:t>明敷无缝钢管</w:t>
      </w:r>
      <w:r w:rsidRPr="004C0F2B">
        <w:rPr>
          <w:rFonts w:ascii="Verdana" w:eastAsia="华文细黑" w:hAnsi="Verdana" w:cs="Calibri"/>
          <w:lang w:val="en-GB"/>
        </w:rPr>
        <w:t>0.07km</w:t>
      </w:r>
      <w:r w:rsidR="00444E36">
        <w:rPr>
          <w:rFonts w:ascii="Verdana" w:eastAsia="华文细黑" w:hAnsi="Verdana" w:cs="Calibri" w:hint="eastAsia"/>
          <w:lang w:val="en-GB"/>
        </w:rPr>
        <w:t>；</w:t>
      </w:r>
      <w:r w:rsidRPr="004C0F2B">
        <w:rPr>
          <w:rFonts w:ascii="Verdana" w:eastAsia="华文细黑" w:hAnsi="Verdana" w:cs="Calibri" w:hint="eastAsia"/>
          <w:lang w:val="en-GB"/>
        </w:rPr>
        <w:t>安装入户无线远传水表</w:t>
      </w:r>
      <w:r w:rsidRPr="004C0F2B">
        <w:rPr>
          <w:rFonts w:ascii="Verdana" w:eastAsia="华文细黑" w:hAnsi="Verdana" w:cs="Calibri"/>
          <w:lang w:val="en-GB"/>
        </w:rPr>
        <w:t>884</w:t>
      </w:r>
      <w:r w:rsidRPr="004C0F2B">
        <w:rPr>
          <w:rFonts w:ascii="Verdana" w:eastAsia="华文细黑" w:hAnsi="Verdana" w:cs="Calibri" w:hint="eastAsia"/>
          <w:lang w:val="en-GB"/>
        </w:rPr>
        <w:t>套</w:t>
      </w:r>
      <w:r w:rsidR="00F61B91" w:rsidRPr="007072FB">
        <w:rPr>
          <w:rFonts w:ascii="Verdana" w:eastAsia="华文细黑" w:hAnsi="Verdana" w:cs="Calibri"/>
          <w:lang w:val="en-GB"/>
        </w:rPr>
        <w:t>。</w:t>
      </w:r>
    </w:p>
    <w:p w14:paraId="2D45ACE4" w14:textId="7853811F" w:rsidR="000D1B9A" w:rsidRDefault="00F61B91" w:rsidP="003C3C26">
      <w:pPr>
        <w:spacing w:before="120" w:after="120" w:line="360" w:lineRule="auto"/>
        <w:ind w:firstLine="454"/>
        <w:jc w:val="both"/>
        <w:rPr>
          <w:rFonts w:ascii="Verdana" w:eastAsia="华文细黑" w:hAnsi="Verdana" w:cs="Calibri"/>
          <w:lang w:val="en-GB"/>
        </w:rPr>
      </w:pPr>
      <w:r w:rsidRPr="007072FB">
        <w:rPr>
          <w:rFonts w:ascii="Verdana" w:eastAsia="华文细黑" w:hAnsi="Verdana" w:cs="Calibri"/>
          <w:lang w:val="en-GB"/>
        </w:rPr>
        <w:t>项目总体施工进度：</w:t>
      </w:r>
      <w:r w:rsidR="009149DA" w:rsidRPr="009149DA">
        <w:rPr>
          <w:rFonts w:ascii="Verdana" w:eastAsia="华文细黑" w:hAnsi="Verdana" w:cs="Calibri" w:hint="eastAsia"/>
          <w:lang w:val="en-GB"/>
        </w:rPr>
        <w:t>本项目形象进度已完成进度</w:t>
      </w:r>
      <w:r w:rsidR="009149DA" w:rsidRPr="009149DA">
        <w:rPr>
          <w:rFonts w:ascii="Verdana" w:eastAsia="华文细黑" w:hAnsi="Verdana" w:cs="Calibri"/>
          <w:lang w:val="en-GB"/>
        </w:rPr>
        <w:t>27.36%</w:t>
      </w:r>
      <w:r w:rsidR="009149DA" w:rsidRPr="009149DA">
        <w:rPr>
          <w:rFonts w:ascii="Verdana" w:eastAsia="华文细黑" w:hAnsi="Verdana" w:cs="Calibri" w:hint="eastAsia"/>
          <w:lang w:val="en-GB"/>
        </w:rPr>
        <w:t>。崖州区：完成管道安装</w:t>
      </w:r>
      <w:r w:rsidR="009149DA" w:rsidRPr="009149DA">
        <w:rPr>
          <w:rFonts w:ascii="Verdana" w:eastAsia="华文细黑" w:hAnsi="Verdana" w:cs="Calibri"/>
          <w:lang w:val="en-GB"/>
        </w:rPr>
        <w:t>10,423</w:t>
      </w:r>
      <w:r w:rsidR="009149DA" w:rsidRPr="009149DA">
        <w:rPr>
          <w:rFonts w:ascii="Verdana" w:eastAsia="华文细黑" w:hAnsi="Verdana" w:cs="Calibri" w:hint="eastAsia"/>
          <w:lang w:val="en-GB"/>
        </w:rPr>
        <w:t>米</w:t>
      </w:r>
      <w:r w:rsidR="00444E36">
        <w:rPr>
          <w:rFonts w:ascii="Verdana" w:eastAsia="华文细黑" w:hAnsi="Verdana" w:cs="Calibri" w:hint="eastAsia"/>
          <w:lang w:val="en-GB"/>
        </w:rPr>
        <w:t>；</w:t>
      </w:r>
      <w:r w:rsidR="009149DA" w:rsidRPr="009149DA">
        <w:rPr>
          <w:rFonts w:ascii="Verdana" w:eastAsia="华文细黑" w:hAnsi="Verdana" w:cs="Calibri" w:hint="eastAsia"/>
          <w:lang w:val="en-GB"/>
        </w:rPr>
        <w:t>天涯区：完成管道安装</w:t>
      </w:r>
      <w:r w:rsidR="009149DA" w:rsidRPr="009149DA">
        <w:rPr>
          <w:rFonts w:ascii="Verdana" w:eastAsia="华文细黑" w:hAnsi="Verdana" w:cs="Calibri"/>
          <w:lang w:val="en-GB"/>
        </w:rPr>
        <w:t>14,034</w:t>
      </w:r>
      <w:r w:rsidR="009149DA" w:rsidRPr="009149DA">
        <w:rPr>
          <w:rFonts w:ascii="Verdana" w:eastAsia="华文细黑" w:hAnsi="Verdana" w:cs="Calibri" w:hint="eastAsia"/>
          <w:lang w:val="en-GB"/>
        </w:rPr>
        <w:t>米，水表组</w:t>
      </w:r>
      <w:r w:rsidR="009149DA" w:rsidRPr="009149DA">
        <w:rPr>
          <w:rFonts w:ascii="Verdana" w:eastAsia="华文细黑" w:hAnsi="Verdana" w:cs="Calibri"/>
          <w:lang w:val="en-GB"/>
        </w:rPr>
        <w:t>33</w:t>
      </w:r>
      <w:r w:rsidR="009149DA" w:rsidRPr="009149DA">
        <w:rPr>
          <w:rFonts w:ascii="Verdana" w:eastAsia="华文细黑" w:hAnsi="Verdana" w:cs="Calibri" w:hint="eastAsia"/>
          <w:lang w:val="en-GB"/>
        </w:rPr>
        <w:t>户</w:t>
      </w:r>
      <w:r w:rsidR="00444E36">
        <w:rPr>
          <w:rFonts w:ascii="Verdana" w:eastAsia="华文细黑" w:hAnsi="Verdana" w:cs="Calibri" w:hint="eastAsia"/>
          <w:lang w:val="en-GB"/>
        </w:rPr>
        <w:t>；</w:t>
      </w:r>
      <w:r w:rsidR="009149DA" w:rsidRPr="009149DA">
        <w:rPr>
          <w:rFonts w:ascii="Verdana" w:eastAsia="华文细黑" w:hAnsi="Verdana" w:cs="Calibri" w:hint="eastAsia"/>
          <w:lang w:val="en-GB"/>
        </w:rPr>
        <w:t>海棠区：完成管道安装</w:t>
      </w:r>
      <w:r w:rsidR="009149DA" w:rsidRPr="009149DA">
        <w:rPr>
          <w:rFonts w:ascii="Verdana" w:eastAsia="华文细黑" w:hAnsi="Verdana" w:cs="Calibri"/>
          <w:lang w:val="en-GB"/>
        </w:rPr>
        <w:t>10,754</w:t>
      </w:r>
      <w:r w:rsidR="009149DA" w:rsidRPr="009149DA">
        <w:rPr>
          <w:rFonts w:ascii="Verdana" w:eastAsia="华文细黑" w:hAnsi="Verdana" w:cs="Calibri" w:hint="eastAsia"/>
          <w:lang w:val="en-GB"/>
        </w:rPr>
        <w:t>米。预计</w:t>
      </w:r>
      <w:r w:rsidR="009149DA" w:rsidRPr="009149DA">
        <w:rPr>
          <w:rFonts w:ascii="Verdana" w:eastAsia="华文细黑" w:hAnsi="Verdana" w:cs="Calibri"/>
          <w:lang w:val="en-GB"/>
        </w:rPr>
        <w:t>2025</w:t>
      </w:r>
      <w:r w:rsidR="009149DA" w:rsidRPr="009149DA">
        <w:rPr>
          <w:rFonts w:ascii="Verdana" w:eastAsia="华文细黑" w:hAnsi="Verdana" w:cs="Calibri" w:hint="eastAsia"/>
          <w:lang w:val="en-GB"/>
        </w:rPr>
        <w:t>年</w:t>
      </w:r>
      <w:r w:rsidR="009149DA" w:rsidRPr="009149DA">
        <w:rPr>
          <w:rFonts w:ascii="Verdana" w:eastAsia="华文细黑" w:hAnsi="Verdana" w:cs="Calibri"/>
          <w:lang w:val="en-GB"/>
        </w:rPr>
        <w:t>4</w:t>
      </w:r>
      <w:r w:rsidR="009149DA" w:rsidRPr="009149DA">
        <w:rPr>
          <w:rFonts w:ascii="Verdana" w:eastAsia="华文细黑" w:hAnsi="Verdana" w:cs="Calibri" w:hint="eastAsia"/>
          <w:lang w:val="en-GB"/>
        </w:rPr>
        <w:t>月完工。</w:t>
      </w:r>
    </w:p>
    <w:p w14:paraId="02D3C652" w14:textId="04F062E6" w:rsidR="009149DA" w:rsidRPr="007072FB" w:rsidRDefault="009149DA" w:rsidP="009149DA">
      <w:pPr>
        <w:spacing w:before="120" w:after="120" w:line="360" w:lineRule="auto"/>
        <w:ind w:firstLine="454"/>
        <w:jc w:val="both"/>
        <w:rPr>
          <w:rFonts w:ascii="Verdana" w:eastAsia="华文细黑" w:hAnsi="Verdana" w:cs="Calibri"/>
          <w:lang w:val="en-GB"/>
        </w:rPr>
      </w:pPr>
      <w:r>
        <w:rPr>
          <w:rFonts w:ascii="Verdana" w:eastAsia="华文细黑" w:hAnsi="Verdana" w:cs="Calibri" w:hint="eastAsia"/>
          <w:lang w:val="en-GB"/>
        </w:rPr>
        <w:t>（</w:t>
      </w:r>
      <w:r>
        <w:rPr>
          <w:rFonts w:ascii="Verdana" w:eastAsia="华文细黑" w:hAnsi="Verdana" w:cs="Calibri" w:hint="eastAsia"/>
          <w:lang w:val="en-GB"/>
        </w:rPr>
        <w:t>2</w:t>
      </w:r>
      <w:r>
        <w:rPr>
          <w:rFonts w:ascii="Verdana" w:eastAsia="华文细黑" w:hAnsi="Verdana" w:cs="Calibri" w:hint="eastAsia"/>
          <w:lang w:val="en-GB"/>
        </w:rPr>
        <w:t>）</w:t>
      </w:r>
      <w:r w:rsidRPr="007072FB">
        <w:rPr>
          <w:rFonts w:ascii="Verdana" w:eastAsia="华文细黑" w:hAnsi="Verdana" w:cs="Calibri"/>
          <w:lang w:val="en-GB"/>
        </w:rPr>
        <w:t>项目名称：</w:t>
      </w:r>
      <w:r w:rsidRPr="009149DA">
        <w:rPr>
          <w:rFonts w:ascii="Verdana" w:eastAsia="华文细黑" w:hAnsi="Verdana" w:cs="Calibri" w:hint="eastAsia"/>
          <w:lang w:val="en-GB"/>
        </w:rPr>
        <w:t>三亚市鹿回头及</w:t>
      </w:r>
      <w:proofErr w:type="gramStart"/>
      <w:r w:rsidRPr="009149DA">
        <w:rPr>
          <w:rFonts w:ascii="Verdana" w:eastAsia="华文细黑" w:hAnsi="Verdana" w:cs="Calibri" w:hint="eastAsia"/>
          <w:lang w:val="en-GB"/>
        </w:rPr>
        <w:t>红沙南片区</w:t>
      </w:r>
      <w:proofErr w:type="gramEnd"/>
      <w:r w:rsidRPr="009149DA">
        <w:rPr>
          <w:rFonts w:ascii="Verdana" w:eastAsia="华文细黑" w:hAnsi="Verdana" w:cs="Calibri" w:hint="eastAsia"/>
          <w:lang w:val="en-GB"/>
        </w:rPr>
        <w:t>排水管网提质增效工程</w:t>
      </w:r>
      <w:r w:rsidR="00E135B5">
        <w:rPr>
          <w:rFonts w:ascii="Verdana" w:eastAsia="华文细黑" w:hAnsi="Verdana" w:cs="Calibri" w:hint="eastAsia"/>
          <w:lang w:val="en-GB"/>
        </w:rPr>
        <w:t>（本期调增）</w:t>
      </w:r>
    </w:p>
    <w:p w14:paraId="116BE9C5" w14:textId="77777777" w:rsidR="009149DA" w:rsidRPr="007072FB" w:rsidRDefault="009149DA" w:rsidP="009149DA">
      <w:pPr>
        <w:spacing w:before="120" w:after="120" w:line="360" w:lineRule="auto"/>
        <w:ind w:firstLine="454"/>
        <w:jc w:val="both"/>
        <w:rPr>
          <w:rFonts w:ascii="Verdana" w:eastAsia="华文细黑" w:hAnsi="Verdana" w:cs="Calibri"/>
          <w:lang w:val="en-GB"/>
        </w:rPr>
      </w:pPr>
      <w:r w:rsidRPr="00EB15AA">
        <w:rPr>
          <w:rFonts w:ascii="Verdana" w:eastAsia="华文细黑" w:hAnsi="Verdana" w:cs="Calibri"/>
          <w:lang w:val="en-GB"/>
        </w:rPr>
        <w:t>项目单位：三亚环通工程管理有限公司</w:t>
      </w:r>
    </w:p>
    <w:p w14:paraId="73F3E3F6" w14:textId="04F2181F" w:rsidR="009149DA" w:rsidRPr="007072FB" w:rsidRDefault="009149DA" w:rsidP="009149DA">
      <w:pPr>
        <w:spacing w:before="120" w:after="120" w:line="360" w:lineRule="auto"/>
        <w:ind w:firstLine="454"/>
        <w:jc w:val="both"/>
        <w:rPr>
          <w:rFonts w:ascii="Verdana" w:eastAsia="华文细黑" w:hAnsi="Verdana" w:cs="Calibri"/>
          <w:lang w:val="en-GB"/>
        </w:rPr>
      </w:pPr>
      <w:r w:rsidRPr="007072FB">
        <w:rPr>
          <w:rFonts w:ascii="Verdana" w:eastAsia="华文细黑" w:hAnsi="Verdana" w:cs="Calibri"/>
          <w:lang w:val="en-GB"/>
        </w:rPr>
        <w:t>项目建设期：</w:t>
      </w:r>
      <w:r w:rsidRPr="009149DA">
        <w:rPr>
          <w:rFonts w:ascii="Verdana" w:eastAsia="华文细黑" w:hAnsi="Verdana" w:cs="Calibri"/>
          <w:lang w:val="en-GB"/>
        </w:rPr>
        <w:t>2022</w:t>
      </w:r>
      <w:r w:rsidRPr="009149DA">
        <w:rPr>
          <w:rFonts w:ascii="Verdana" w:eastAsia="华文细黑" w:hAnsi="Verdana" w:cs="Calibri" w:hint="eastAsia"/>
          <w:lang w:val="en-GB"/>
        </w:rPr>
        <w:t>年</w:t>
      </w:r>
      <w:r w:rsidRPr="009149DA">
        <w:rPr>
          <w:rFonts w:ascii="Verdana" w:eastAsia="华文细黑" w:hAnsi="Verdana" w:cs="Calibri"/>
          <w:lang w:val="en-GB"/>
        </w:rPr>
        <w:t>10</w:t>
      </w:r>
      <w:r w:rsidRPr="009149DA">
        <w:rPr>
          <w:rFonts w:ascii="Verdana" w:eastAsia="华文细黑" w:hAnsi="Verdana" w:cs="Calibri" w:hint="eastAsia"/>
          <w:lang w:val="en-GB"/>
        </w:rPr>
        <w:t>月</w:t>
      </w:r>
      <w:r w:rsidRPr="009149DA">
        <w:rPr>
          <w:rFonts w:ascii="Verdana" w:eastAsia="华文细黑" w:hAnsi="Verdana" w:cs="Calibri"/>
          <w:lang w:val="en-GB"/>
        </w:rPr>
        <w:t>-2025</w:t>
      </w:r>
      <w:r w:rsidRPr="009149DA">
        <w:rPr>
          <w:rFonts w:ascii="Verdana" w:eastAsia="华文细黑" w:hAnsi="Verdana" w:cs="Calibri" w:hint="eastAsia"/>
          <w:lang w:val="en-GB"/>
        </w:rPr>
        <w:t>年</w:t>
      </w:r>
      <w:r w:rsidR="007247FB">
        <w:rPr>
          <w:rFonts w:ascii="Verdana" w:eastAsia="华文细黑" w:hAnsi="Verdana" w:cs="Calibri" w:hint="eastAsia"/>
          <w:lang w:val="en-GB"/>
        </w:rPr>
        <w:t>6</w:t>
      </w:r>
      <w:r w:rsidRPr="009149DA">
        <w:rPr>
          <w:rFonts w:ascii="Verdana" w:eastAsia="华文细黑" w:hAnsi="Verdana" w:cs="Calibri" w:hint="eastAsia"/>
          <w:lang w:val="en-GB"/>
        </w:rPr>
        <w:t>月</w:t>
      </w:r>
    </w:p>
    <w:p w14:paraId="0F85839E" w14:textId="6E7D4A74" w:rsidR="009149DA" w:rsidRDefault="009149DA" w:rsidP="009149DA">
      <w:pPr>
        <w:spacing w:before="120" w:after="120" w:line="360" w:lineRule="auto"/>
        <w:ind w:firstLine="454"/>
        <w:jc w:val="both"/>
        <w:rPr>
          <w:rFonts w:ascii="Verdana" w:eastAsia="华文细黑" w:hAnsi="Verdana" w:cs="Calibri"/>
          <w:lang w:val="en-GB"/>
        </w:rPr>
      </w:pPr>
      <w:r w:rsidRPr="007072FB">
        <w:rPr>
          <w:rFonts w:ascii="Verdana" w:eastAsia="华文细黑" w:hAnsi="Verdana" w:cs="Calibri"/>
          <w:lang w:val="en-GB"/>
        </w:rPr>
        <w:lastRenderedPageBreak/>
        <w:t>主要建设内容及建设规模：</w:t>
      </w:r>
    </w:p>
    <w:p w14:paraId="25317897" w14:textId="6E96582E" w:rsidR="009149DA" w:rsidRDefault="009149DA" w:rsidP="009149DA">
      <w:pPr>
        <w:spacing w:before="120" w:after="120" w:line="360" w:lineRule="auto"/>
        <w:ind w:firstLine="454"/>
        <w:jc w:val="both"/>
        <w:rPr>
          <w:rFonts w:ascii="Verdana" w:eastAsia="华文细黑" w:hAnsi="Verdana" w:cs="Calibri"/>
          <w:lang w:val="en-GB"/>
        </w:rPr>
      </w:pPr>
      <w:r w:rsidRPr="009149DA">
        <w:rPr>
          <w:rFonts w:ascii="Verdana" w:eastAsia="华文细黑" w:hAnsi="Verdana" w:cs="Calibri" w:hint="eastAsia"/>
          <w:lang w:val="en-GB"/>
        </w:rPr>
        <w:t>鹿回头及</w:t>
      </w:r>
      <w:proofErr w:type="gramStart"/>
      <w:r w:rsidRPr="009149DA">
        <w:rPr>
          <w:rFonts w:ascii="Verdana" w:eastAsia="华文细黑" w:hAnsi="Verdana" w:cs="Calibri" w:hint="eastAsia"/>
          <w:lang w:val="en-GB"/>
        </w:rPr>
        <w:t>红沙南片区</w:t>
      </w:r>
      <w:proofErr w:type="gramEnd"/>
      <w:r w:rsidRPr="009149DA">
        <w:rPr>
          <w:rFonts w:ascii="Verdana" w:eastAsia="华文细黑" w:hAnsi="Verdana" w:cs="Calibri" w:hint="eastAsia"/>
          <w:lang w:val="en-GB"/>
        </w:rPr>
        <w:t>总面积</w:t>
      </w:r>
      <w:r w:rsidRPr="009149DA">
        <w:rPr>
          <w:rFonts w:ascii="Verdana" w:eastAsia="华文细黑" w:hAnsi="Verdana" w:cs="Calibri"/>
          <w:lang w:val="en-GB"/>
        </w:rPr>
        <w:t>22.56km²</w:t>
      </w:r>
      <w:r w:rsidRPr="009149DA">
        <w:rPr>
          <w:rFonts w:ascii="Verdana" w:eastAsia="华文细黑" w:hAnsi="Verdana" w:cs="Calibri" w:hint="eastAsia"/>
          <w:lang w:val="en-GB"/>
        </w:rPr>
        <w:t>，本工程对片区内现状雨污水管网清淤检测修复，检测长度约</w:t>
      </w:r>
      <w:r w:rsidRPr="009149DA">
        <w:rPr>
          <w:rFonts w:ascii="Verdana" w:eastAsia="华文细黑" w:hAnsi="Verdana" w:cs="Calibri"/>
          <w:lang w:val="en-GB"/>
        </w:rPr>
        <w:t>233.5km</w:t>
      </w:r>
      <w:r w:rsidRPr="009149DA">
        <w:rPr>
          <w:rFonts w:ascii="Verdana" w:eastAsia="华文细黑" w:hAnsi="Verdana" w:cs="Calibri" w:hint="eastAsia"/>
          <w:lang w:val="en-GB"/>
        </w:rPr>
        <w:t>，修复长度约</w:t>
      </w:r>
      <w:r w:rsidRPr="009149DA">
        <w:rPr>
          <w:rFonts w:ascii="Verdana" w:eastAsia="华文细黑" w:hAnsi="Verdana" w:cs="Calibri"/>
          <w:lang w:val="en-GB"/>
        </w:rPr>
        <w:t>26.9km</w:t>
      </w:r>
      <w:r w:rsidRPr="009149DA">
        <w:rPr>
          <w:rFonts w:ascii="Verdana" w:eastAsia="华文细黑" w:hAnsi="Verdana" w:cs="Calibri" w:hint="eastAsia"/>
          <w:lang w:val="en-GB"/>
        </w:rPr>
        <w:t>，管径范围</w:t>
      </w:r>
      <w:r w:rsidRPr="009149DA">
        <w:rPr>
          <w:rFonts w:ascii="Verdana" w:eastAsia="华文细黑" w:hAnsi="Verdana" w:cs="Calibri"/>
          <w:lang w:val="en-GB"/>
        </w:rPr>
        <w:t>d300-d2000mm</w:t>
      </w:r>
      <w:r w:rsidR="00444E36">
        <w:rPr>
          <w:rFonts w:ascii="Verdana" w:eastAsia="华文细黑" w:hAnsi="Verdana" w:cs="Calibri" w:hint="eastAsia"/>
          <w:lang w:val="en-GB"/>
        </w:rPr>
        <w:t>；</w:t>
      </w:r>
      <w:r w:rsidRPr="009149DA">
        <w:rPr>
          <w:rFonts w:ascii="Verdana" w:eastAsia="华文细黑" w:hAnsi="Verdana" w:cs="Calibri" w:hint="eastAsia"/>
          <w:lang w:val="en-GB"/>
        </w:rPr>
        <w:t>改造错混接点约</w:t>
      </w:r>
      <w:r w:rsidRPr="009149DA">
        <w:rPr>
          <w:rFonts w:ascii="Verdana" w:eastAsia="华文细黑" w:hAnsi="Verdana" w:cs="Calibri"/>
          <w:lang w:val="en-GB"/>
        </w:rPr>
        <w:t>318</w:t>
      </w:r>
      <w:r w:rsidRPr="009149DA">
        <w:rPr>
          <w:rFonts w:ascii="Verdana" w:eastAsia="华文细黑" w:hAnsi="Verdana" w:cs="Calibri" w:hint="eastAsia"/>
          <w:lang w:val="en-GB"/>
        </w:rPr>
        <w:t>处</w:t>
      </w:r>
      <w:r w:rsidR="00444E36">
        <w:rPr>
          <w:rFonts w:ascii="Verdana" w:eastAsia="华文细黑" w:hAnsi="Verdana" w:cs="Calibri" w:hint="eastAsia"/>
          <w:lang w:val="en-GB"/>
        </w:rPr>
        <w:t>；</w:t>
      </w:r>
      <w:r w:rsidRPr="009149DA">
        <w:rPr>
          <w:rFonts w:ascii="Verdana" w:eastAsia="华文细黑" w:hAnsi="Verdana" w:cs="Calibri" w:hint="eastAsia"/>
          <w:lang w:val="en-GB"/>
        </w:rPr>
        <w:t>新建排水管道，长度约</w:t>
      </w:r>
      <w:r w:rsidRPr="009149DA">
        <w:rPr>
          <w:rFonts w:ascii="Verdana" w:eastAsia="华文细黑" w:hAnsi="Verdana" w:cs="Calibri"/>
          <w:lang w:val="en-GB"/>
        </w:rPr>
        <w:t>7.3km</w:t>
      </w:r>
      <w:r w:rsidRPr="009149DA">
        <w:rPr>
          <w:rFonts w:ascii="Verdana" w:eastAsia="华文细黑" w:hAnsi="Verdana" w:cs="Calibri" w:hint="eastAsia"/>
          <w:lang w:val="en-GB"/>
        </w:rPr>
        <w:t>，管径范围</w:t>
      </w:r>
      <w:r w:rsidRPr="009149DA">
        <w:rPr>
          <w:rFonts w:ascii="Verdana" w:eastAsia="华文细黑" w:hAnsi="Verdana" w:cs="Calibri"/>
          <w:lang w:val="en-GB"/>
        </w:rPr>
        <w:t>d300-</w:t>
      </w:r>
      <w:proofErr w:type="gramStart"/>
      <w:r w:rsidRPr="009149DA">
        <w:rPr>
          <w:rFonts w:ascii="Verdana" w:eastAsia="华文细黑" w:hAnsi="Verdana" w:cs="Calibri" w:hint="eastAsia"/>
          <w:lang w:val="en-GB"/>
        </w:rPr>
        <w:t>方涵</w:t>
      </w:r>
      <w:proofErr w:type="gramEnd"/>
      <w:r w:rsidRPr="009149DA">
        <w:rPr>
          <w:rFonts w:ascii="Verdana" w:eastAsia="华文细黑" w:hAnsi="Verdana" w:cs="Calibri"/>
          <w:lang w:val="en-GB"/>
        </w:rPr>
        <w:t>2400x1400mm</w:t>
      </w:r>
      <w:r w:rsidRPr="009149DA">
        <w:rPr>
          <w:rFonts w:ascii="Verdana" w:eastAsia="华文细黑" w:hAnsi="Verdana" w:cs="Calibri" w:hint="eastAsia"/>
          <w:lang w:val="en-GB"/>
        </w:rPr>
        <w:t>。</w:t>
      </w:r>
    </w:p>
    <w:p w14:paraId="36A814D8" w14:textId="327A08B4" w:rsidR="009149DA" w:rsidRDefault="009149DA" w:rsidP="009149DA">
      <w:pPr>
        <w:spacing w:before="120" w:after="120" w:line="360" w:lineRule="auto"/>
        <w:ind w:firstLine="454"/>
        <w:jc w:val="both"/>
        <w:rPr>
          <w:rFonts w:ascii="Verdana" w:eastAsia="华文细黑" w:hAnsi="Verdana" w:cs="Calibri"/>
          <w:lang w:val="en-GB"/>
        </w:rPr>
      </w:pPr>
      <w:bookmarkStart w:id="44" w:name="_Hlk183418779"/>
      <w:r w:rsidRPr="007072FB">
        <w:rPr>
          <w:rFonts w:ascii="Verdana" w:eastAsia="华文细黑" w:hAnsi="Verdana" w:cs="Calibri"/>
          <w:lang w:val="en-GB"/>
        </w:rPr>
        <w:t>项目总体施工进度：</w:t>
      </w:r>
      <w:r w:rsidR="00444E36">
        <w:rPr>
          <w:rFonts w:ascii="Verdana" w:eastAsia="华文细黑" w:hAnsi="Verdana" w:cs="Calibri" w:hint="eastAsia"/>
          <w:lang w:val="en-GB"/>
        </w:rPr>
        <w:t>本项目</w:t>
      </w:r>
      <w:r w:rsidR="007247FB" w:rsidRPr="007247FB">
        <w:rPr>
          <w:rFonts w:ascii="Verdana" w:eastAsia="华文细黑" w:hAnsi="Verdana" w:cs="Calibri" w:hint="eastAsia"/>
          <w:lang w:val="en-GB"/>
        </w:rPr>
        <w:t>截止目前已累计完成</w:t>
      </w:r>
      <w:proofErr w:type="gramStart"/>
      <w:r w:rsidR="007247FB" w:rsidRPr="007247FB">
        <w:rPr>
          <w:rFonts w:ascii="Verdana" w:eastAsia="华文细黑" w:hAnsi="Verdana" w:cs="Calibri" w:hint="eastAsia"/>
          <w:lang w:val="en-GB"/>
        </w:rPr>
        <w:t>总形象</w:t>
      </w:r>
      <w:proofErr w:type="gramEnd"/>
      <w:r w:rsidR="007247FB" w:rsidRPr="007247FB">
        <w:rPr>
          <w:rFonts w:ascii="Verdana" w:eastAsia="华文细黑" w:hAnsi="Verdana" w:cs="Calibri" w:hint="eastAsia"/>
          <w:lang w:val="en-GB"/>
        </w:rPr>
        <w:t>进度的</w:t>
      </w:r>
      <w:r w:rsidR="007247FB" w:rsidRPr="007247FB">
        <w:rPr>
          <w:rFonts w:ascii="Verdana" w:eastAsia="华文细黑" w:hAnsi="Verdana" w:cs="Calibri"/>
          <w:lang w:val="en-GB"/>
        </w:rPr>
        <w:t>85%</w:t>
      </w:r>
      <w:r w:rsidR="007247FB" w:rsidRPr="007247FB">
        <w:rPr>
          <w:rFonts w:ascii="Verdana" w:eastAsia="华文细黑" w:hAnsi="Verdana" w:cs="Calibri" w:hint="eastAsia"/>
          <w:lang w:val="en-GB"/>
        </w:rPr>
        <w:t>，预计</w:t>
      </w:r>
      <w:r w:rsidR="007247FB" w:rsidRPr="007247FB">
        <w:rPr>
          <w:rFonts w:ascii="Verdana" w:eastAsia="华文细黑" w:hAnsi="Verdana" w:cs="Calibri"/>
          <w:lang w:val="en-GB"/>
        </w:rPr>
        <w:t>2025</w:t>
      </w:r>
      <w:r w:rsidR="007247FB" w:rsidRPr="007247FB">
        <w:rPr>
          <w:rFonts w:ascii="Verdana" w:eastAsia="华文细黑" w:hAnsi="Verdana" w:cs="Calibri" w:hint="eastAsia"/>
          <w:lang w:val="en-GB"/>
        </w:rPr>
        <w:t>年</w:t>
      </w:r>
      <w:r w:rsidR="007247FB" w:rsidRPr="007247FB">
        <w:rPr>
          <w:rFonts w:ascii="Verdana" w:eastAsia="华文细黑" w:hAnsi="Verdana" w:cs="Calibri"/>
          <w:lang w:val="en-GB"/>
        </w:rPr>
        <w:t>6</w:t>
      </w:r>
      <w:r w:rsidR="007247FB" w:rsidRPr="007247FB">
        <w:rPr>
          <w:rFonts w:ascii="Verdana" w:eastAsia="华文细黑" w:hAnsi="Verdana" w:cs="Calibri" w:hint="eastAsia"/>
          <w:lang w:val="en-GB"/>
        </w:rPr>
        <w:t>月完工</w:t>
      </w:r>
      <w:r w:rsidRPr="009149DA">
        <w:rPr>
          <w:rFonts w:ascii="Verdana" w:eastAsia="华文细黑" w:hAnsi="Verdana" w:cs="Calibri" w:hint="eastAsia"/>
          <w:lang w:val="en-GB"/>
        </w:rPr>
        <w:t>。</w:t>
      </w:r>
    </w:p>
    <w:p w14:paraId="41EBF44B" w14:textId="12503A4C" w:rsidR="00EA2FD3" w:rsidRDefault="00EA2FD3" w:rsidP="00EA2FD3">
      <w:pPr>
        <w:spacing w:before="120" w:after="120" w:line="360" w:lineRule="auto"/>
        <w:ind w:firstLine="454"/>
        <w:jc w:val="both"/>
        <w:rPr>
          <w:rFonts w:ascii="Verdana" w:eastAsia="华文细黑" w:hAnsi="Verdana" w:cs="Calibri"/>
          <w:lang w:val="en-GB"/>
        </w:rPr>
      </w:pPr>
      <w:bookmarkStart w:id="45" w:name="_Hlk183186599"/>
      <w:bookmarkEnd w:id="44"/>
      <w:r>
        <w:rPr>
          <w:rFonts w:ascii="Verdana" w:eastAsia="华文细黑" w:hAnsi="Verdana" w:cs="Calibri" w:hint="eastAsia"/>
          <w:lang w:val="en-GB"/>
        </w:rPr>
        <w:t>（</w:t>
      </w:r>
      <w:r>
        <w:rPr>
          <w:rFonts w:ascii="Verdana" w:eastAsia="华文细黑" w:hAnsi="Verdana" w:cs="Calibri" w:hint="eastAsia"/>
          <w:lang w:val="en-GB"/>
        </w:rPr>
        <w:t>3</w:t>
      </w:r>
      <w:r>
        <w:rPr>
          <w:rFonts w:ascii="Verdana" w:eastAsia="华文细黑" w:hAnsi="Verdana" w:cs="Calibri" w:hint="eastAsia"/>
          <w:lang w:val="en-GB"/>
        </w:rPr>
        <w:t>）</w:t>
      </w:r>
      <w:bookmarkEnd w:id="45"/>
      <w:r>
        <w:rPr>
          <w:rFonts w:ascii="Verdana" w:eastAsia="华文细黑" w:hAnsi="Verdana" w:cs="Calibri" w:hint="eastAsia"/>
          <w:lang w:val="en-GB"/>
        </w:rPr>
        <w:t>项目名称：</w:t>
      </w:r>
      <w:r w:rsidRPr="00B61E8E">
        <w:rPr>
          <w:rFonts w:ascii="Verdana" w:eastAsia="华文细黑" w:hAnsi="Verdana" w:cs="Calibri" w:hint="eastAsia"/>
          <w:lang w:val="en-GB"/>
        </w:rPr>
        <w:t>三亚市抱坡溪东片区排水管网提质增效工程</w:t>
      </w:r>
      <w:r w:rsidR="00E135B5">
        <w:rPr>
          <w:rFonts w:ascii="Verdana" w:eastAsia="华文细黑" w:hAnsi="Verdana" w:cs="Calibri" w:hint="eastAsia"/>
          <w:lang w:val="en-GB"/>
        </w:rPr>
        <w:t>（本期调减）</w:t>
      </w:r>
    </w:p>
    <w:p w14:paraId="1407BD90" w14:textId="77777777" w:rsidR="00EA2FD3" w:rsidRDefault="00EA2FD3" w:rsidP="00EA2FD3">
      <w:pPr>
        <w:spacing w:before="120" w:after="120" w:line="360" w:lineRule="auto"/>
        <w:ind w:firstLine="454"/>
        <w:jc w:val="both"/>
        <w:rPr>
          <w:rFonts w:ascii="Verdana" w:eastAsia="华文细黑" w:hAnsi="Verdana" w:cs="Calibri"/>
          <w:lang w:val="en-GB"/>
        </w:rPr>
      </w:pPr>
      <w:r>
        <w:rPr>
          <w:rFonts w:ascii="Verdana" w:eastAsia="华文细黑" w:hAnsi="Verdana" w:cs="Calibri" w:hint="eastAsia"/>
          <w:lang w:val="en-GB"/>
        </w:rPr>
        <w:t>项目单位：</w:t>
      </w:r>
      <w:r w:rsidRPr="00B61E8E">
        <w:rPr>
          <w:rFonts w:ascii="Verdana" w:eastAsia="华文细黑" w:hAnsi="Verdana" w:cs="Calibri" w:hint="eastAsia"/>
          <w:lang w:val="en-GB"/>
        </w:rPr>
        <w:t>三亚环通工程管理有限公司</w:t>
      </w:r>
    </w:p>
    <w:p w14:paraId="07FFE866" w14:textId="41795724" w:rsidR="00EA2FD3" w:rsidRDefault="00EA2FD3" w:rsidP="00EA2FD3">
      <w:pPr>
        <w:spacing w:before="120" w:after="120" w:line="360" w:lineRule="auto"/>
        <w:ind w:firstLine="454"/>
        <w:jc w:val="both"/>
        <w:rPr>
          <w:rFonts w:ascii="Verdana" w:eastAsia="华文细黑" w:hAnsi="Verdana" w:cs="Calibri"/>
          <w:lang w:val="en-GB"/>
        </w:rPr>
      </w:pPr>
      <w:r>
        <w:rPr>
          <w:rFonts w:ascii="Verdana" w:eastAsia="华文细黑" w:hAnsi="Verdana" w:cs="Calibri" w:hint="eastAsia"/>
          <w:lang w:val="en-GB"/>
        </w:rPr>
        <w:t>项目建设期：</w:t>
      </w:r>
      <w:r>
        <w:rPr>
          <w:rFonts w:ascii="Verdana" w:eastAsia="华文细黑" w:hAnsi="Verdana" w:cs="Calibri" w:hint="eastAsia"/>
          <w:lang w:val="en-GB"/>
        </w:rPr>
        <w:t>2</w:t>
      </w:r>
      <w:r>
        <w:rPr>
          <w:rFonts w:ascii="Verdana" w:eastAsia="华文细黑" w:hAnsi="Verdana" w:cs="Calibri"/>
          <w:lang w:val="en-GB"/>
        </w:rPr>
        <w:t>022</w:t>
      </w:r>
      <w:r>
        <w:rPr>
          <w:rFonts w:ascii="Verdana" w:eastAsia="华文细黑" w:hAnsi="Verdana" w:cs="Calibri" w:hint="eastAsia"/>
          <w:lang w:val="en-GB"/>
        </w:rPr>
        <w:t>年</w:t>
      </w:r>
      <w:r>
        <w:rPr>
          <w:rFonts w:ascii="Verdana" w:eastAsia="华文细黑" w:hAnsi="Verdana" w:cs="Calibri" w:hint="eastAsia"/>
          <w:lang w:val="en-GB"/>
        </w:rPr>
        <w:t>1</w:t>
      </w:r>
      <w:r>
        <w:rPr>
          <w:rFonts w:ascii="Verdana" w:eastAsia="华文细黑" w:hAnsi="Verdana" w:cs="Calibri"/>
          <w:lang w:val="en-GB"/>
        </w:rPr>
        <w:t>1</w:t>
      </w:r>
      <w:r>
        <w:rPr>
          <w:rFonts w:ascii="Verdana" w:eastAsia="华文细黑" w:hAnsi="Verdana" w:cs="Calibri" w:hint="eastAsia"/>
          <w:lang w:val="en-GB"/>
        </w:rPr>
        <w:t>月</w:t>
      </w:r>
      <w:r>
        <w:rPr>
          <w:rFonts w:ascii="Verdana" w:eastAsia="华文细黑" w:hAnsi="Verdana" w:cs="Calibri" w:hint="eastAsia"/>
          <w:lang w:val="en-GB"/>
        </w:rPr>
        <w:t>-</w:t>
      </w:r>
      <w:r w:rsidR="00806054">
        <w:rPr>
          <w:rFonts w:ascii="Verdana" w:eastAsia="华文细黑" w:hAnsi="Verdana" w:cs="Calibri"/>
          <w:lang w:val="en-GB"/>
        </w:rPr>
        <w:t>202</w:t>
      </w:r>
      <w:r w:rsidR="00806054">
        <w:rPr>
          <w:rFonts w:ascii="Verdana" w:eastAsia="华文细黑" w:hAnsi="Verdana" w:cs="Calibri" w:hint="eastAsia"/>
          <w:lang w:val="en-GB"/>
        </w:rPr>
        <w:t>5</w:t>
      </w:r>
      <w:r>
        <w:rPr>
          <w:rFonts w:ascii="Verdana" w:eastAsia="华文细黑" w:hAnsi="Verdana" w:cs="Calibri" w:hint="eastAsia"/>
          <w:lang w:val="en-GB"/>
        </w:rPr>
        <w:t>年</w:t>
      </w:r>
      <w:r w:rsidR="00806054">
        <w:rPr>
          <w:rFonts w:ascii="Verdana" w:eastAsia="华文细黑" w:hAnsi="Verdana" w:cs="Calibri" w:hint="eastAsia"/>
          <w:lang w:val="en-GB"/>
        </w:rPr>
        <w:t>10</w:t>
      </w:r>
      <w:r>
        <w:rPr>
          <w:rFonts w:ascii="Verdana" w:eastAsia="华文细黑" w:hAnsi="Verdana" w:cs="Calibri" w:hint="eastAsia"/>
          <w:lang w:val="en-GB"/>
        </w:rPr>
        <w:t>月</w:t>
      </w:r>
    </w:p>
    <w:p w14:paraId="7F835589" w14:textId="77777777" w:rsidR="00EA2FD3" w:rsidRDefault="00EA2FD3" w:rsidP="00EA2FD3">
      <w:pPr>
        <w:spacing w:before="120" w:after="120" w:line="360" w:lineRule="auto"/>
        <w:ind w:firstLine="454"/>
        <w:jc w:val="both"/>
        <w:rPr>
          <w:rFonts w:ascii="Verdana" w:eastAsia="华文细黑" w:hAnsi="Verdana" w:cs="Calibri"/>
          <w:lang w:val="en-GB"/>
        </w:rPr>
      </w:pPr>
      <w:r w:rsidRPr="00B61E8E">
        <w:rPr>
          <w:rFonts w:ascii="Verdana" w:eastAsia="华文细黑" w:hAnsi="Verdana" w:cs="Calibri" w:hint="eastAsia"/>
          <w:lang w:val="en-GB"/>
        </w:rPr>
        <w:t>主要建设内容及建设规模：项目服务范围为抱坡溪东片区</w:t>
      </w:r>
      <w:r>
        <w:rPr>
          <w:rFonts w:ascii="Verdana" w:eastAsia="华文细黑" w:hAnsi="Verdana" w:cs="Calibri" w:hint="eastAsia"/>
          <w:lang w:val="en-GB"/>
        </w:rPr>
        <w:t>，</w:t>
      </w:r>
      <w:r w:rsidRPr="00B61E8E">
        <w:rPr>
          <w:rFonts w:ascii="Verdana" w:eastAsia="华文细黑" w:hAnsi="Verdana" w:cs="Calibri" w:hint="eastAsia"/>
          <w:lang w:val="en-GB"/>
        </w:rPr>
        <w:t>北至三亚学院</w:t>
      </w:r>
      <w:r>
        <w:rPr>
          <w:rFonts w:ascii="Verdana" w:eastAsia="华文细黑" w:hAnsi="Verdana" w:cs="Calibri" w:hint="eastAsia"/>
          <w:lang w:val="en-GB"/>
        </w:rPr>
        <w:t>，</w:t>
      </w:r>
      <w:r w:rsidRPr="00B61E8E">
        <w:rPr>
          <w:rFonts w:ascii="Verdana" w:eastAsia="华文细黑" w:hAnsi="Verdana" w:cs="Calibri" w:hint="eastAsia"/>
          <w:lang w:val="en-GB"/>
        </w:rPr>
        <w:t>南至三亚东河</w:t>
      </w:r>
      <w:r>
        <w:rPr>
          <w:rFonts w:ascii="Verdana" w:eastAsia="华文细黑" w:hAnsi="Verdana" w:cs="Calibri" w:hint="eastAsia"/>
          <w:lang w:val="en-GB"/>
        </w:rPr>
        <w:t>，</w:t>
      </w:r>
      <w:r w:rsidRPr="00B61E8E">
        <w:rPr>
          <w:rFonts w:ascii="Verdana" w:eastAsia="华文细黑" w:hAnsi="Verdana" w:cs="Calibri" w:hint="eastAsia"/>
          <w:lang w:val="en-GB"/>
        </w:rPr>
        <w:t>西至落笔洞路</w:t>
      </w:r>
      <w:r>
        <w:rPr>
          <w:rFonts w:ascii="Verdana" w:eastAsia="华文细黑" w:hAnsi="Verdana" w:cs="Calibri" w:hint="eastAsia"/>
          <w:lang w:val="en-GB"/>
        </w:rPr>
        <w:t>，</w:t>
      </w:r>
      <w:r w:rsidRPr="00B61E8E">
        <w:rPr>
          <w:rFonts w:ascii="Verdana" w:eastAsia="华文细黑" w:hAnsi="Verdana" w:cs="Calibri" w:hint="eastAsia"/>
          <w:lang w:val="en-GB"/>
        </w:rPr>
        <w:t>东至学院路</w:t>
      </w:r>
      <w:r>
        <w:rPr>
          <w:rFonts w:ascii="Verdana" w:eastAsia="华文细黑" w:hAnsi="Verdana" w:cs="Calibri" w:hint="eastAsia"/>
          <w:lang w:val="en-GB"/>
        </w:rPr>
        <w:t>，</w:t>
      </w:r>
      <w:r w:rsidRPr="00B61E8E">
        <w:rPr>
          <w:rFonts w:ascii="Verdana" w:eastAsia="华文细黑" w:hAnsi="Verdana" w:cs="Calibri" w:hint="eastAsia"/>
          <w:lang w:val="en-GB"/>
        </w:rPr>
        <w:t>服务面积约</w:t>
      </w:r>
      <w:r w:rsidRPr="00B61E8E">
        <w:rPr>
          <w:rFonts w:ascii="Verdana" w:eastAsia="华文细黑" w:hAnsi="Verdana" w:cs="Calibri"/>
          <w:lang w:val="en-GB"/>
        </w:rPr>
        <w:t>25.8km</w:t>
      </w:r>
      <w:r w:rsidRPr="00E1055A">
        <w:rPr>
          <w:rFonts w:ascii="Verdana" w:eastAsia="华文细黑" w:hAnsi="Verdana" w:cs="Calibri"/>
          <w:vertAlign w:val="superscript"/>
          <w:lang w:val="en-GB"/>
        </w:rPr>
        <w:t>2</w:t>
      </w:r>
      <w:r w:rsidRPr="00B61E8E">
        <w:rPr>
          <w:rFonts w:ascii="Verdana" w:eastAsia="华文细黑" w:hAnsi="Verdana" w:cs="Calibri" w:hint="eastAsia"/>
          <w:lang w:val="en-GB"/>
        </w:rPr>
        <w:t>。具体建设内容</w:t>
      </w:r>
      <w:r>
        <w:rPr>
          <w:rFonts w:ascii="Verdana" w:eastAsia="华文细黑" w:hAnsi="Verdana" w:cs="Calibri" w:hint="eastAsia"/>
          <w:lang w:val="en-GB"/>
        </w:rPr>
        <w:t>如下</w:t>
      </w:r>
      <w:r>
        <w:rPr>
          <w:rFonts w:ascii="Verdana" w:eastAsia="华文细黑" w:hAnsi="Verdana" w:cs="Calibri"/>
          <w:lang w:val="en-GB"/>
        </w:rPr>
        <w:t>：</w:t>
      </w:r>
      <w:r w:rsidRPr="00B61E8E">
        <w:rPr>
          <w:rFonts w:ascii="Verdana" w:eastAsia="华文细黑" w:hAnsi="Verdana" w:cs="Calibri" w:hint="eastAsia"/>
          <w:lang w:val="en-GB"/>
        </w:rPr>
        <w:t>混错接改造工程</w:t>
      </w:r>
      <w:r>
        <w:rPr>
          <w:rFonts w:ascii="Verdana" w:eastAsia="华文细黑" w:hAnsi="Verdana" w:cs="Calibri" w:hint="eastAsia"/>
          <w:lang w:val="en-GB"/>
        </w:rPr>
        <w:t>；</w:t>
      </w:r>
      <w:r w:rsidRPr="00B61E8E">
        <w:rPr>
          <w:rFonts w:ascii="Verdana" w:eastAsia="华文细黑" w:hAnsi="Verdana" w:cs="Calibri" w:hint="eastAsia"/>
          <w:lang w:val="en-GB"/>
        </w:rPr>
        <w:t>合流管道改造工程</w:t>
      </w:r>
      <w:r>
        <w:rPr>
          <w:rFonts w:ascii="Verdana" w:eastAsia="华文细黑" w:hAnsi="Verdana" w:cs="Calibri" w:hint="eastAsia"/>
          <w:lang w:val="en-GB"/>
        </w:rPr>
        <w:t>；</w:t>
      </w:r>
      <w:r w:rsidRPr="00B61E8E">
        <w:rPr>
          <w:rFonts w:ascii="Verdana" w:eastAsia="华文细黑" w:hAnsi="Verdana" w:cs="Calibri" w:hint="eastAsia"/>
          <w:lang w:val="en-GB"/>
        </w:rPr>
        <w:t>雨污水管道连通工程</w:t>
      </w:r>
      <w:r>
        <w:rPr>
          <w:rFonts w:ascii="Verdana" w:eastAsia="华文细黑" w:hAnsi="Verdana" w:cs="Calibri" w:hint="eastAsia"/>
          <w:lang w:val="en-GB"/>
        </w:rPr>
        <w:t>；</w:t>
      </w:r>
      <w:r w:rsidRPr="00B61E8E">
        <w:rPr>
          <w:rFonts w:ascii="Verdana" w:eastAsia="华文细黑" w:hAnsi="Verdana" w:cs="Calibri" w:hint="eastAsia"/>
          <w:lang w:val="en-GB"/>
        </w:rPr>
        <w:t>雨水管道扩容工程</w:t>
      </w:r>
      <w:r>
        <w:rPr>
          <w:rFonts w:ascii="Verdana" w:eastAsia="华文细黑" w:hAnsi="Verdana" w:cs="Calibri" w:hint="eastAsia"/>
          <w:lang w:val="en-GB"/>
        </w:rPr>
        <w:t>；</w:t>
      </w:r>
      <w:r w:rsidRPr="00B61E8E">
        <w:rPr>
          <w:rFonts w:ascii="Verdana" w:eastAsia="华文细黑" w:hAnsi="Verdana" w:cs="Calibri" w:hint="eastAsia"/>
          <w:lang w:val="en-GB"/>
        </w:rPr>
        <w:t>管道高水位运行改造工程</w:t>
      </w:r>
      <w:r>
        <w:rPr>
          <w:rFonts w:ascii="Verdana" w:eastAsia="华文细黑" w:hAnsi="Verdana" w:cs="Calibri" w:hint="eastAsia"/>
          <w:lang w:val="en-GB"/>
        </w:rPr>
        <w:t>；</w:t>
      </w:r>
      <w:r w:rsidRPr="00B61E8E">
        <w:rPr>
          <w:rFonts w:ascii="Verdana" w:eastAsia="华文细黑" w:hAnsi="Verdana" w:cs="Calibri" w:hint="eastAsia"/>
          <w:lang w:val="en-GB"/>
        </w:rPr>
        <w:t>管道清淤修复工程</w:t>
      </w:r>
      <w:r>
        <w:rPr>
          <w:rFonts w:ascii="Verdana" w:eastAsia="华文细黑" w:hAnsi="Verdana" w:cs="Calibri" w:hint="eastAsia"/>
          <w:lang w:val="en-GB"/>
        </w:rPr>
        <w:t>等。</w:t>
      </w:r>
    </w:p>
    <w:p w14:paraId="451983C4" w14:textId="3FA3A0B2" w:rsidR="00806054" w:rsidRDefault="00806054" w:rsidP="00EA2FD3">
      <w:pPr>
        <w:spacing w:before="120" w:after="120" w:line="360" w:lineRule="auto"/>
        <w:ind w:firstLine="454"/>
        <w:jc w:val="both"/>
        <w:rPr>
          <w:rFonts w:ascii="Verdana" w:eastAsia="华文细黑" w:hAnsi="Verdana" w:cs="Calibri"/>
          <w:lang w:val="en-GB"/>
        </w:rPr>
      </w:pPr>
      <w:r w:rsidRPr="00806054">
        <w:rPr>
          <w:rFonts w:ascii="Verdana" w:eastAsia="华文细黑" w:hAnsi="Verdana" w:cs="Calibri" w:hint="eastAsia"/>
          <w:lang w:val="en-GB"/>
        </w:rPr>
        <w:t>项目总体施工进度：本项目截止目前已累计完成进度</w:t>
      </w:r>
      <w:r w:rsidRPr="00806054">
        <w:rPr>
          <w:rFonts w:ascii="Verdana" w:eastAsia="华文细黑" w:hAnsi="Verdana" w:cs="Calibri"/>
          <w:lang w:val="en-GB"/>
        </w:rPr>
        <w:t>86%</w:t>
      </w:r>
      <w:r w:rsidRPr="00806054">
        <w:rPr>
          <w:rFonts w:ascii="Verdana" w:eastAsia="华文细黑" w:hAnsi="Verdana" w:cs="Calibri" w:hint="eastAsia"/>
          <w:lang w:val="en-GB"/>
        </w:rPr>
        <w:t>，预计</w:t>
      </w:r>
      <w:r w:rsidRPr="00806054">
        <w:rPr>
          <w:rFonts w:ascii="Verdana" w:eastAsia="华文细黑" w:hAnsi="Verdana" w:cs="Calibri"/>
          <w:lang w:val="en-GB"/>
        </w:rPr>
        <w:t>2025</w:t>
      </w:r>
      <w:r w:rsidRPr="00806054">
        <w:rPr>
          <w:rFonts w:ascii="Verdana" w:eastAsia="华文细黑" w:hAnsi="Verdana" w:cs="Calibri" w:hint="eastAsia"/>
          <w:lang w:val="en-GB"/>
        </w:rPr>
        <w:t>年</w:t>
      </w:r>
      <w:r>
        <w:rPr>
          <w:rFonts w:ascii="Verdana" w:eastAsia="华文细黑" w:hAnsi="Verdana" w:cs="Calibri" w:hint="eastAsia"/>
          <w:lang w:val="en-GB"/>
        </w:rPr>
        <w:t>10</w:t>
      </w:r>
      <w:r w:rsidRPr="00806054">
        <w:rPr>
          <w:rFonts w:ascii="Verdana" w:eastAsia="华文细黑" w:hAnsi="Verdana" w:cs="Calibri" w:hint="eastAsia"/>
          <w:lang w:val="en-GB"/>
        </w:rPr>
        <w:t>月完工。</w:t>
      </w:r>
    </w:p>
    <w:p w14:paraId="0CA60A6A" w14:textId="38ED5ECE" w:rsidR="00596B2E" w:rsidRPr="00596B2E" w:rsidRDefault="00596B2E" w:rsidP="00596B2E">
      <w:pPr>
        <w:spacing w:before="120" w:after="120" w:line="360" w:lineRule="auto"/>
        <w:ind w:firstLine="454"/>
        <w:jc w:val="both"/>
        <w:rPr>
          <w:rFonts w:ascii="Verdana" w:eastAsia="华文细黑" w:hAnsi="Verdana" w:cs="Calibri"/>
          <w:lang w:val="en-GB"/>
        </w:rPr>
      </w:pPr>
      <w:r w:rsidRPr="00596B2E">
        <w:rPr>
          <w:rFonts w:ascii="Verdana" w:eastAsia="华文细黑" w:hAnsi="Verdana" w:cs="Calibri" w:hint="eastAsia"/>
          <w:lang w:val="en-GB"/>
        </w:rPr>
        <w:t>（</w:t>
      </w:r>
      <w:r>
        <w:rPr>
          <w:rFonts w:ascii="Verdana" w:eastAsia="华文细黑" w:hAnsi="Verdana" w:cs="Calibri" w:hint="eastAsia"/>
          <w:lang w:val="en-GB"/>
        </w:rPr>
        <w:t>4</w:t>
      </w:r>
      <w:r w:rsidRPr="00596B2E">
        <w:rPr>
          <w:rFonts w:ascii="Verdana" w:eastAsia="华文细黑" w:hAnsi="Verdana" w:cs="Calibri" w:hint="eastAsia"/>
          <w:lang w:val="en-GB"/>
        </w:rPr>
        <w:t>）项目名称：三亚市棕榈滩污水主干管疏通清理、修复及压力管建设工程</w:t>
      </w:r>
      <w:r w:rsidR="00E135B5">
        <w:rPr>
          <w:rFonts w:ascii="Verdana" w:eastAsia="华文细黑" w:hAnsi="Verdana" w:cs="Calibri" w:hint="eastAsia"/>
          <w:lang w:val="en-GB"/>
        </w:rPr>
        <w:t>（本期调减）</w:t>
      </w:r>
    </w:p>
    <w:p w14:paraId="58EA398E" w14:textId="77777777" w:rsidR="00596B2E" w:rsidRPr="00596B2E" w:rsidRDefault="00596B2E" w:rsidP="00596B2E">
      <w:pPr>
        <w:spacing w:before="120" w:after="120" w:line="360" w:lineRule="auto"/>
        <w:ind w:firstLine="454"/>
        <w:jc w:val="both"/>
        <w:rPr>
          <w:rFonts w:ascii="Verdana" w:eastAsia="华文细黑" w:hAnsi="Verdana" w:cs="Calibri"/>
          <w:lang w:val="en-GB"/>
        </w:rPr>
      </w:pPr>
      <w:r w:rsidRPr="00596B2E">
        <w:rPr>
          <w:rFonts w:ascii="Verdana" w:eastAsia="华文细黑" w:hAnsi="Verdana" w:cs="Calibri" w:hint="eastAsia"/>
          <w:lang w:val="en-GB"/>
        </w:rPr>
        <w:t>项目单位：三亚环通工程管理有限公司</w:t>
      </w:r>
    </w:p>
    <w:p w14:paraId="2CAEED81" w14:textId="0B2ECD70" w:rsidR="00596B2E" w:rsidRPr="00596B2E" w:rsidRDefault="00596B2E" w:rsidP="00596B2E">
      <w:pPr>
        <w:spacing w:before="120" w:after="120" w:line="360" w:lineRule="auto"/>
        <w:ind w:firstLine="454"/>
        <w:jc w:val="both"/>
        <w:rPr>
          <w:rFonts w:ascii="Verdana" w:eastAsia="华文细黑" w:hAnsi="Verdana" w:cs="Calibri"/>
          <w:lang w:val="en-GB"/>
        </w:rPr>
      </w:pPr>
      <w:r w:rsidRPr="00596B2E">
        <w:rPr>
          <w:rFonts w:ascii="Verdana" w:eastAsia="华文细黑" w:hAnsi="Verdana" w:cs="Calibri" w:hint="eastAsia"/>
          <w:lang w:val="en-GB"/>
        </w:rPr>
        <w:t>项目建设期：</w:t>
      </w:r>
      <w:r w:rsidRPr="00596B2E">
        <w:rPr>
          <w:rFonts w:ascii="Verdana" w:eastAsia="华文细黑" w:hAnsi="Verdana" w:cs="Calibri"/>
          <w:lang w:val="en-GB"/>
        </w:rPr>
        <w:t>2020</w:t>
      </w:r>
      <w:r w:rsidRPr="00596B2E">
        <w:rPr>
          <w:rFonts w:ascii="Verdana" w:eastAsia="华文细黑" w:hAnsi="Verdana" w:cs="Calibri" w:hint="eastAsia"/>
          <w:lang w:val="en-GB"/>
        </w:rPr>
        <w:t>年</w:t>
      </w:r>
      <w:r w:rsidRPr="00596B2E">
        <w:rPr>
          <w:rFonts w:ascii="Verdana" w:eastAsia="华文细黑" w:hAnsi="Verdana" w:cs="Calibri"/>
          <w:lang w:val="en-GB"/>
        </w:rPr>
        <w:t>3</w:t>
      </w:r>
      <w:r w:rsidRPr="00596B2E">
        <w:rPr>
          <w:rFonts w:ascii="Verdana" w:eastAsia="华文细黑" w:hAnsi="Verdana" w:cs="Calibri" w:hint="eastAsia"/>
          <w:lang w:val="en-GB"/>
        </w:rPr>
        <w:t>月</w:t>
      </w:r>
      <w:r w:rsidRPr="00596B2E">
        <w:rPr>
          <w:rFonts w:ascii="Verdana" w:eastAsia="华文细黑" w:hAnsi="Verdana" w:cs="Calibri"/>
          <w:lang w:val="en-GB"/>
        </w:rPr>
        <w:t>-</w:t>
      </w:r>
      <w:r w:rsidR="00806054" w:rsidRPr="00596B2E">
        <w:rPr>
          <w:rFonts w:ascii="Verdana" w:eastAsia="华文细黑" w:hAnsi="Verdana" w:cs="Calibri"/>
          <w:lang w:val="en-GB"/>
        </w:rPr>
        <w:t>202</w:t>
      </w:r>
      <w:r w:rsidR="00806054">
        <w:rPr>
          <w:rFonts w:ascii="Verdana" w:eastAsia="华文细黑" w:hAnsi="Verdana" w:cs="Calibri" w:hint="eastAsia"/>
          <w:lang w:val="en-GB"/>
        </w:rPr>
        <w:t>5</w:t>
      </w:r>
      <w:r w:rsidRPr="00596B2E">
        <w:rPr>
          <w:rFonts w:ascii="Verdana" w:eastAsia="华文细黑" w:hAnsi="Verdana" w:cs="Calibri" w:hint="eastAsia"/>
          <w:lang w:val="en-GB"/>
        </w:rPr>
        <w:t>年</w:t>
      </w:r>
      <w:r w:rsidR="00806054">
        <w:rPr>
          <w:rFonts w:ascii="Verdana" w:eastAsia="华文细黑" w:hAnsi="Verdana" w:cs="Calibri" w:hint="eastAsia"/>
          <w:lang w:val="en-GB"/>
        </w:rPr>
        <w:t>6</w:t>
      </w:r>
      <w:r w:rsidRPr="00596B2E">
        <w:rPr>
          <w:rFonts w:ascii="Verdana" w:eastAsia="华文细黑" w:hAnsi="Verdana" w:cs="Calibri" w:hint="eastAsia"/>
          <w:lang w:val="en-GB"/>
        </w:rPr>
        <w:t>月</w:t>
      </w:r>
    </w:p>
    <w:p w14:paraId="4DDA3D70" w14:textId="77777777" w:rsidR="00596B2E" w:rsidRDefault="00596B2E" w:rsidP="00596B2E">
      <w:pPr>
        <w:spacing w:before="120" w:after="120" w:line="360" w:lineRule="auto"/>
        <w:ind w:firstLine="454"/>
        <w:jc w:val="both"/>
        <w:rPr>
          <w:rFonts w:ascii="Verdana" w:eastAsia="华文细黑" w:hAnsi="Verdana" w:cs="Calibri"/>
          <w:lang w:val="en-GB"/>
        </w:rPr>
      </w:pPr>
      <w:r w:rsidRPr="00596B2E">
        <w:rPr>
          <w:rFonts w:ascii="Verdana" w:eastAsia="华文细黑" w:hAnsi="Verdana" w:cs="Calibri" w:hint="eastAsia"/>
          <w:lang w:val="en-GB"/>
        </w:rPr>
        <w:t>主要建设内容及建设规模：本项目建设三亚市棕榈滩污水主干管疏通清理、修复及压力管建设工程。主要建设内容包括污水工程、清淤工程、破除及修复工程等附属工程。具体建设内容：</w:t>
      </w:r>
      <w:r w:rsidRPr="00596B2E">
        <w:rPr>
          <w:rFonts w:ascii="Verdana" w:eastAsia="华文细黑" w:hAnsi="Verdana" w:cs="Calibri"/>
          <w:lang w:val="en-GB"/>
        </w:rPr>
        <w:t>(</w:t>
      </w:r>
      <w:proofErr w:type="gramStart"/>
      <w:r w:rsidRPr="00596B2E">
        <w:rPr>
          <w:rFonts w:ascii="Verdana" w:eastAsia="华文细黑" w:hAnsi="Verdana" w:cs="Calibri" w:hint="eastAsia"/>
          <w:lang w:val="en-GB"/>
        </w:rPr>
        <w:t>一</w:t>
      </w:r>
      <w:proofErr w:type="gramEnd"/>
      <w:r w:rsidRPr="00596B2E">
        <w:rPr>
          <w:rFonts w:ascii="Verdana" w:eastAsia="华文细黑" w:hAnsi="Verdana" w:cs="Calibri"/>
          <w:lang w:val="en-GB"/>
        </w:rPr>
        <w:t>)</w:t>
      </w:r>
      <w:r w:rsidRPr="00596B2E">
        <w:rPr>
          <w:rFonts w:ascii="Verdana" w:eastAsia="华文细黑" w:hAnsi="Verdana" w:cs="Calibri" w:hint="eastAsia"/>
          <w:lang w:val="en-GB"/>
        </w:rPr>
        <w:t>污水管道汇水面积</w:t>
      </w:r>
      <w:r w:rsidRPr="00596B2E">
        <w:rPr>
          <w:rFonts w:ascii="Verdana" w:eastAsia="华文细黑" w:hAnsi="Verdana" w:cs="Calibri"/>
          <w:lang w:val="en-GB"/>
        </w:rPr>
        <w:t>(</w:t>
      </w:r>
      <w:r w:rsidRPr="00596B2E">
        <w:rPr>
          <w:rFonts w:ascii="Verdana" w:eastAsia="华文细黑" w:hAnsi="Verdana" w:cs="Calibri" w:hint="eastAsia"/>
          <w:lang w:val="en-GB"/>
        </w:rPr>
        <w:t>含转输面积</w:t>
      </w:r>
      <w:r w:rsidRPr="00596B2E">
        <w:rPr>
          <w:rFonts w:ascii="Verdana" w:eastAsia="华文细黑" w:hAnsi="Verdana" w:cs="Calibri"/>
          <w:lang w:val="en-GB"/>
        </w:rPr>
        <w:t>)</w:t>
      </w:r>
      <w:r w:rsidRPr="00596B2E">
        <w:rPr>
          <w:rFonts w:ascii="Verdana" w:eastAsia="华文细黑" w:hAnsi="Verdana" w:cs="Calibri" w:hint="eastAsia"/>
          <w:lang w:val="en-GB"/>
        </w:rPr>
        <w:t>约</w:t>
      </w:r>
      <w:r w:rsidRPr="00596B2E">
        <w:rPr>
          <w:rFonts w:ascii="Verdana" w:eastAsia="华文细黑" w:hAnsi="Verdana" w:cs="Calibri"/>
          <w:lang w:val="en-GB"/>
        </w:rPr>
        <w:t>92.40ha</w:t>
      </w:r>
      <w:r w:rsidRPr="00596B2E">
        <w:rPr>
          <w:rFonts w:ascii="Verdana" w:eastAsia="华文细黑" w:hAnsi="Verdana" w:cs="Calibri" w:hint="eastAsia"/>
          <w:lang w:val="en-GB"/>
        </w:rPr>
        <w:t>。新</w:t>
      </w:r>
      <w:r w:rsidRPr="00596B2E">
        <w:rPr>
          <w:rFonts w:ascii="Verdana" w:eastAsia="华文细黑" w:hAnsi="Verdana" w:cs="Calibri" w:hint="eastAsia"/>
          <w:lang w:val="en-GB"/>
        </w:rPr>
        <w:lastRenderedPageBreak/>
        <w:t>建</w:t>
      </w:r>
      <w:r w:rsidRPr="00596B2E">
        <w:rPr>
          <w:rFonts w:ascii="Verdana" w:eastAsia="华文细黑" w:hAnsi="Verdana" w:cs="Calibri"/>
          <w:lang w:val="en-GB"/>
        </w:rPr>
        <w:t>DN450</w:t>
      </w:r>
      <w:r w:rsidRPr="00596B2E">
        <w:rPr>
          <w:rFonts w:ascii="Verdana" w:eastAsia="华文细黑" w:hAnsi="Verdana" w:cs="Calibri" w:hint="eastAsia"/>
          <w:lang w:val="en-GB"/>
        </w:rPr>
        <w:t>污水压力流管</w:t>
      </w:r>
      <w:r w:rsidRPr="00596B2E">
        <w:rPr>
          <w:rFonts w:ascii="Verdana" w:eastAsia="华文细黑" w:hAnsi="Verdana" w:cs="Calibri"/>
          <w:lang w:val="en-GB"/>
        </w:rPr>
        <w:t>570m</w:t>
      </w:r>
      <w:r w:rsidRPr="00596B2E">
        <w:rPr>
          <w:rFonts w:ascii="Verdana" w:eastAsia="华文细黑" w:hAnsi="Verdana" w:cs="Calibri" w:hint="eastAsia"/>
          <w:lang w:val="en-GB"/>
        </w:rPr>
        <w:t>，新建</w:t>
      </w:r>
      <w:r w:rsidRPr="00596B2E">
        <w:rPr>
          <w:rFonts w:ascii="Verdana" w:eastAsia="华文细黑" w:hAnsi="Verdana" w:cs="Calibri"/>
          <w:lang w:val="en-GB"/>
        </w:rPr>
        <w:t>DN300~DN600</w:t>
      </w:r>
      <w:r w:rsidRPr="00596B2E">
        <w:rPr>
          <w:rFonts w:ascii="Verdana" w:eastAsia="华文细黑" w:hAnsi="Verdana" w:cs="Calibri" w:hint="eastAsia"/>
          <w:lang w:val="en-GB"/>
        </w:rPr>
        <w:t>的污水重力流管长</w:t>
      </w:r>
      <w:r w:rsidRPr="00596B2E">
        <w:rPr>
          <w:rFonts w:ascii="Verdana" w:eastAsia="华文细黑" w:hAnsi="Verdana" w:cs="Calibri"/>
          <w:lang w:val="en-GB"/>
        </w:rPr>
        <w:t>3,138m</w:t>
      </w:r>
      <w:r w:rsidRPr="00596B2E">
        <w:rPr>
          <w:rFonts w:ascii="Verdana" w:eastAsia="华文细黑" w:hAnsi="Verdana" w:cs="Calibri" w:hint="eastAsia"/>
          <w:lang w:val="en-GB"/>
        </w:rPr>
        <w:t>，新建</w:t>
      </w:r>
      <w:r w:rsidRPr="00596B2E">
        <w:rPr>
          <w:rFonts w:ascii="Verdana" w:eastAsia="华文细黑" w:hAnsi="Verdana" w:cs="Calibri"/>
          <w:lang w:val="en-GB"/>
        </w:rPr>
        <w:t>dn800</w:t>
      </w:r>
      <w:r w:rsidRPr="00596B2E">
        <w:rPr>
          <w:rFonts w:ascii="Verdana" w:eastAsia="华文细黑" w:hAnsi="Verdana" w:cs="Calibri" w:hint="eastAsia"/>
          <w:lang w:val="en-GB"/>
        </w:rPr>
        <w:t>污水重力流管</w:t>
      </w:r>
      <w:r w:rsidRPr="00596B2E">
        <w:rPr>
          <w:rFonts w:ascii="Verdana" w:eastAsia="华文细黑" w:hAnsi="Verdana" w:cs="Calibri"/>
          <w:lang w:val="en-GB"/>
        </w:rPr>
        <w:t>188m(</w:t>
      </w:r>
      <w:r w:rsidRPr="00596B2E">
        <w:rPr>
          <w:rFonts w:ascii="Verdana" w:eastAsia="华文细黑" w:hAnsi="Verdana" w:cs="Calibri" w:hint="eastAsia"/>
          <w:lang w:val="en-GB"/>
        </w:rPr>
        <w:t>过路顶管</w:t>
      </w:r>
      <w:r w:rsidRPr="00596B2E">
        <w:rPr>
          <w:rFonts w:ascii="Verdana" w:eastAsia="华文细黑" w:hAnsi="Verdana" w:cs="Calibri"/>
          <w:lang w:val="en-GB"/>
        </w:rPr>
        <w:t>)</w:t>
      </w:r>
      <w:r w:rsidRPr="00596B2E">
        <w:rPr>
          <w:rFonts w:ascii="Verdana" w:eastAsia="华文细黑" w:hAnsi="Verdana" w:cs="Calibri" w:hint="eastAsia"/>
          <w:lang w:val="en-GB"/>
        </w:rPr>
        <w:t>，预留接户管</w:t>
      </w:r>
      <w:r w:rsidRPr="00596B2E">
        <w:rPr>
          <w:rFonts w:ascii="Verdana" w:eastAsia="华文细黑" w:hAnsi="Verdana" w:cs="Calibri"/>
          <w:lang w:val="en-GB"/>
        </w:rPr>
        <w:t>DN200</w:t>
      </w:r>
      <w:r w:rsidRPr="00596B2E">
        <w:rPr>
          <w:rFonts w:ascii="Verdana" w:eastAsia="华文细黑" w:hAnsi="Verdana" w:cs="Calibri" w:hint="eastAsia"/>
          <w:lang w:val="en-GB"/>
        </w:rPr>
        <w:t>的</w:t>
      </w:r>
      <w:r w:rsidRPr="00596B2E">
        <w:rPr>
          <w:rFonts w:ascii="Verdana" w:eastAsia="华文细黑" w:hAnsi="Verdana" w:cs="Calibri"/>
          <w:lang w:val="en-GB"/>
        </w:rPr>
        <w:t xml:space="preserve">U-PVC </w:t>
      </w:r>
      <w:r w:rsidRPr="00596B2E">
        <w:rPr>
          <w:rFonts w:ascii="Verdana" w:eastAsia="华文细黑" w:hAnsi="Verdana" w:cs="Calibri" w:hint="eastAsia"/>
          <w:lang w:val="en-GB"/>
        </w:rPr>
        <w:t>污水管长</w:t>
      </w:r>
      <w:r w:rsidRPr="00596B2E">
        <w:rPr>
          <w:rFonts w:ascii="Verdana" w:eastAsia="华文细黑" w:hAnsi="Verdana" w:cs="Calibri"/>
          <w:lang w:val="en-GB"/>
        </w:rPr>
        <w:t xml:space="preserve"> 2,500m</w:t>
      </w:r>
      <w:r w:rsidRPr="00596B2E">
        <w:rPr>
          <w:rFonts w:ascii="Verdana" w:eastAsia="华文细黑" w:hAnsi="Verdana" w:cs="Calibri" w:hint="eastAsia"/>
          <w:lang w:val="en-GB"/>
        </w:rPr>
        <w:t>。</w:t>
      </w:r>
      <w:r w:rsidRPr="00596B2E">
        <w:rPr>
          <w:rFonts w:ascii="Verdana" w:eastAsia="华文细黑" w:hAnsi="Verdana" w:cs="Calibri"/>
          <w:lang w:val="en-GB"/>
        </w:rPr>
        <w:t>(</w:t>
      </w:r>
      <w:r w:rsidRPr="00596B2E">
        <w:rPr>
          <w:rFonts w:ascii="Verdana" w:eastAsia="华文细黑" w:hAnsi="Verdana" w:cs="Calibri" w:hint="eastAsia"/>
          <w:lang w:val="en-GB"/>
        </w:rPr>
        <w:t>二</w:t>
      </w:r>
      <w:r w:rsidRPr="00596B2E">
        <w:rPr>
          <w:rFonts w:ascii="Verdana" w:eastAsia="华文细黑" w:hAnsi="Verdana" w:cs="Calibri"/>
          <w:lang w:val="en-GB"/>
        </w:rPr>
        <w:t>)</w:t>
      </w:r>
      <w:r w:rsidRPr="00596B2E">
        <w:rPr>
          <w:rFonts w:ascii="Verdana" w:eastAsia="华文细黑" w:hAnsi="Verdana" w:cs="Calibri" w:hint="eastAsia"/>
          <w:lang w:val="en-GB"/>
        </w:rPr>
        <w:t>排水管道清淤总长约</w:t>
      </w:r>
      <w:r w:rsidRPr="00596B2E">
        <w:rPr>
          <w:rFonts w:ascii="Verdana" w:eastAsia="华文细黑" w:hAnsi="Verdana" w:cs="Calibri"/>
          <w:lang w:val="en-GB"/>
        </w:rPr>
        <w:t>13,476m</w:t>
      </w:r>
      <w:r w:rsidRPr="00596B2E">
        <w:rPr>
          <w:rFonts w:ascii="Verdana" w:eastAsia="华文细黑" w:hAnsi="Verdana" w:cs="Calibri" w:hint="eastAsia"/>
          <w:lang w:val="en-GB"/>
        </w:rPr>
        <w:t>。在红土坎泵站新建一个一对一变频控制柜，控制流量输送，并对泵站进行路面硬化及增设护栏等。</w:t>
      </w:r>
    </w:p>
    <w:p w14:paraId="26FBFB51" w14:textId="0315DC3D" w:rsidR="00806054" w:rsidRPr="00596B2E" w:rsidRDefault="00806054" w:rsidP="00596B2E">
      <w:pPr>
        <w:spacing w:before="120" w:after="120" w:line="360" w:lineRule="auto"/>
        <w:ind w:firstLine="454"/>
        <w:jc w:val="both"/>
        <w:rPr>
          <w:rFonts w:ascii="Verdana" w:eastAsia="华文细黑" w:hAnsi="Verdana" w:cs="Calibri"/>
          <w:lang w:val="en-GB"/>
        </w:rPr>
      </w:pPr>
      <w:r w:rsidRPr="00806054">
        <w:rPr>
          <w:rFonts w:ascii="Verdana" w:eastAsia="华文细黑" w:hAnsi="Verdana" w:cs="Calibri" w:hint="eastAsia"/>
          <w:lang w:val="en-GB"/>
        </w:rPr>
        <w:t>项目总体施工进度：本项目截止目前已累计完成</w:t>
      </w:r>
      <w:proofErr w:type="gramStart"/>
      <w:r w:rsidRPr="00806054">
        <w:rPr>
          <w:rFonts w:ascii="Verdana" w:eastAsia="华文细黑" w:hAnsi="Verdana" w:cs="Calibri" w:hint="eastAsia"/>
          <w:lang w:val="en-GB"/>
        </w:rPr>
        <w:t>总形象</w:t>
      </w:r>
      <w:proofErr w:type="gramEnd"/>
      <w:r w:rsidRPr="00806054">
        <w:rPr>
          <w:rFonts w:ascii="Verdana" w:eastAsia="华文细黑" w:hAnsi="Verdana" w:cs="Calibri" w:hint="eastAsia"/>
          <w:lang w:val="en-GB"/>
        </w:rPr>
        <w:t>进度的</w:t>
      </w:r>
      <w:r>
        <w:rPr>
          <w:rFonts w:ascii="Verdana" w:eastAsia="华文细黑" w:hAnsi="Verdana" w:cs="Calibri" w:hint="eastAsia"/>
          <w:lang w:val="en-GB"/>
        </w:rPr>
        <w:t>65</w:t>
      </w:r>
      <w:r w:rsidRPr="00806054">
        <w:rPr>
          <w:rFonts w:ascii="Verdana" w:eastAsia="华文细黑" w:hAnsi="Verdana" w:cs="Calibri"/>
          <w:lang w:val="en-GB"/>
        </w:rPr>
        <w:t>%</w:t>
      </w:r>
      <w:r w:rsidRPr="00806054">
        <w:rPr>
          <w:rFonts w:ascii="Verdana" w:eastAsia="华文细黑" w:hAnsi="Verdana" w:cs="Calibri" w:hint="eastAsia"/>
          <w:lang w:val="en-GB"/>
        </w:rPr>
        <w:t>，预计</w:t>
      </w:r>
      <w:r w:rsidRPr="00806054">
        <w:rPr>
          <w:rFonts w:ascii="Verdana" w:eastAsia="华文细黑" w:hAnsi="Verdana" w:cs="Calibri"/>
          <w:lang w:val="en-GB"/>
        </w:rPr>
        <w:t>2025</w:t>
      </w:r>
      <w:r w:rsidRPr="00806054">
        <w:rPr>
          <w:rFonts w:ascii="Verdana" w:eastAsia="华文细黑" w:hAnsi="Verdana" w:cs="Calibri" w:hint="eastAsia"/>
          <w:lang w:val="en-GB"/>
        </w:rPr>
        <w:t>年</w:t>
      </w:r>
      <w:r w:rsidRPr="00806054">
        <w:rPr>
          <w:rFonts w:ascii="Verdana" w:eastAsia="华文细黑" w:hAnsi="Verdana" w:cs="Calibri"/>
          <w:lang w:val="en-GB"/>
        </w:rPr>
        <w:t>6</w:t>
      </w:r>
      <w:r w:rsidRPr="00806054">
        <w:rPr>
          <w:rFonts w:ascii="Verdana" w:eastAsia="华文细黑" w:hAnsi="Verdana" w:cs="Calibri" w:hint="eastAsia"/>
          <w:lang w:val="en-GB"/>
        </w:rPr>
        <w:t>月完工。</w:t>
      </w:r>
    </w:p>
    <w:p w14:paraId="76BF108D" w14:textId="2AEB29F9" w:rsidR="009A5462" w:rsidRDefault="002C186B" w:rsidP="002C186B">
      <w:pPr>
        <w:widowControl w:val="0"/>
        <w:snapToGrid w:val="0"/>
        <w:spacing w:line="520" w:lineRule="exact"/>
        <w:ind w:firstLineChars="200" w:firstLine="480"/>
        <w:jc w:val="both"/>
        <w:rPr>
          <w:rFonts w:ascii="Verdana" w:eastAsia="华文细黑" w:hAnsi="Verdana" w:cs="仿宋"/>
        </w:rPr>
      </w:pPr>
      <w:r w:rsidRPr="007072FB">
        <w:rPr>
          <w:rFonts w:ascii="Verdana" w:eastAsia="华文细黑" w:hAnsi="Verdana" w:cs="仿宋"/>
        </w:rPr>
        <w:t>本次调剂具体情况请见下表</w:t>
      </w:r>
      <w:r w:rsidRPr="007072FB">
        <w:rPr>
          <w:rFonts w:ascii="Verdana" w:eastAsia="华文细黑" w:hAnsi="Verdana" w:cs="仿宋"/>
        </w:rPr>
        <w:t>1:</w:t>
      </w:r>
    </w:p>
    <w:p w14:paraId="1A156254" w14:textId="77777777" w:rsidR="00A5726B" w:rsidRPr="007072FB" w:rsidRDefault="00A5726B" w:rsidP="002C186B">
      <w:pPr>
        <w:widowControl w:val="0"/>
        <w:snapToGrid w:val="0"/>
        <w:spacing w:line="520" w:lineRule="exact"/>
        <w:ind w:firstLineChars="200" w:firstLine="480"/>
        <w:jc w:val="both"/>
        <w:rPr>
          <w:rFonts w:ascii="Verdana" w:eastAsia="华文细黑" w:hAnsi="Verdana" w:cs="仿宋"/>
        </w:rPr>
      </w:pPr>
    </w:p>
    <w:p w14:paraId="686FBC4D" w14:textId="69F3B615" w:rsidR="00F875AB" w:rsidRPr="007072FB" w:rsidRDefault="00F875AB" w:rsidP="00F875AB">
      <w:pPr>
        <w:jc w:val="center"/>
        <w:rPr>
          <w:rFonts w:ascii="Verdana" w:eastAsia="华文细黑" w:hAnsi="Verdana"/>
          <w:b/>
          <w:color w:val="000000"/>
        </w:rPr>
      </w:pPr>
      <w:r w:rsidRPr="007072FB">
        <w:rPr>
          <w:rFonts w:ascii="Verdana" w:eastAsia="华文细黑" w:hAnsi="Verdana"/>
          <w:b/>
          <w:color w:val="000000"/>
        </w:rPr>
        <w:t>表</w:t>
      </w:r>
      <w:r w:rsidRPr="007072FB">
        <w:rPr>
          <w:rFonts w:ascii="Verdana" w:eastAsia="华文细黑" w:hAnsi="Verdana"/>
          <w:b/>
          <w:color w:val="000000"/>
        </w:rPr>
        <w:t>1-1</w:t>
      </w:r>
      <w:r w:rsidRPr="007072FB">
        <w:rPr>
          <w:rFonts w:ascii="Verdana" w:eastAsia="华文细黑" w:hAnsi="Verdana"/>
          <w:b/>
          <w:color w:val="000000"/>
        </w:rPr>
        <w:t>：</w:t>
      </w:r>
      <w:r w:rsidR="00402DF5" w:rsidRPr="00402DF5">
        <w:rPr>
          <w:rFonts w:ascii="Verdana" w:eastAsia="华文细黑" w:hAnsi="Verdana" w:hint="eastAsia"/>
          <w:b/>
          <w:color w:val="000000"/>
        </w:rPr>
        <w:t>本次债券额度调整情况表</w:t>
      </w:r>
      <w:r w:rsidR="009A4136">
        <w:rPr>
          <w:rFonts w:ascii="Verdana" w:eastAsia="华文细黑" w:hAnsi="Verdana" w:hint="eastAsia"/>
          <w:b/>
          <w:color w:val="000000"/>
        </w:rPr>
        <w:t>（</w:t>
      </w:r>
      <w:r w:rsidR="006C683B">
        <w:rPr>
          <w:rFonts w:ascii="Verdana" w:eastAsia="华文细黑" w:hAnsi="Verdana" w:hint="eastAsia"/>
          <w:b/>
          <w:color w:val="000000"/>
        </w:rPr>
        <w:t>其他项目</w:t>
      </w:r>
      <w:r w:rsidR="009A4136">
        <w:rPr>
          <w:rFonts w:ascii="Verdana" w:eastAsia="华文细黑" w:hAnsi="Verdana" w:hint="eastAsia"/>
          <w:b/>
          <w:color w:val="000000"/>
        </w:rPr>
        <w:t>调增至本项目）</w:t>
      </w:r>
    </w:p>
    <w:p w14:paraId="25E44B33" w14:textId="77777777" w:rsidR="002D3F6F" w:rsidRDefault="00F875AB" w:rsidP="00F875AB">
      <w:pPr>
        <w:jc w:val="right"/>
        <w:rPr>
          <w:rFonts w:ascii="Verdana" w:eastAsia="华文细黑" w:hAnsi="Verdana"/>
          <w:color w:val="000000"/>
          <w:sz w:val="20"/>
          <w:szCs w:val="22"/>
        </w:rPr>
      </w:pPr>
      <w:r w:rsidRPr="007072FB">
        <w:rPr>
          <w:rFonts w:ascii="Verdana" w:eastAsia="华文细黑" w:hAnsi="Verdana"/>
          <w:color w:val="000000"/>
          <w:sz w:val="20"/>
          <w:szCs w:val="22"/>
        </w:rPr>
        <w:t>单位：人民币万元</w:t>
      </w:r>
    </w:p>
    <w:tbl>
      <w:tblPr>
        <w:tblW w:w="96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2"/>
        <w:gridCol w:w="850"/>
        <w:gridCol w:w="998"/>
        <w:gridCol w:w="1701"/>
        <w:gridCol w:w="1275"/>
        <w:gridCol w:w="1843"/>
        <w:gridCol w:w="1276"/>
      </w:tblGrid>
      <w:tr w:rsidR="002D3F6F" w:rsidRPr="001D2678" w14:paraId="41B0A6B2" w14:textId="77777777" w:rsidTr="002D3F6F">
        <w:trPr>
          <w:trHeight w:val="312"/>
          <w:jc w:val="center"/>
        </w:trPr>
        <w:tc>
          <w:tcPr>
            <w:tcW w:w="1702" w:type="dxa"/>
            <w:shd w:val="clear" w:color="auto" w:fill="0070C0"/>
            <w:vAlign w:val="center"/>
          </w:tcPr>
          <w:p w14:paraId="4225A76A" w14:textId="77777777" w:rsidR="002D3F6F" w:rsidRPr="00DD2AEA" w:rsidRDefault="002D3F6F" w:rsidP="0076641D">
            <w:pPr>
              <w:jc w:val="center"/>
              <w:rPr>
                <w:rFonts w:asciiTheme="minorHAnsi" w:eastAsia="华文细黑" w:hAnsiTheme="minorHAnsi" w:cs="宋体"/>
                <w:b/>
                <w:bCs/>
                <w:color w:val="FFFFFF" w:themeColor="background1"/>
                <w:sz w:val="20"/>
                <w:szCs w:val="20"/>
              </w:rPr>
            </w:pPr>
            <w:r w:rsidRPr="00DD2AEA">
              <w:rPr>
                <w:rFonts w:asciiTheme="minorHAnsi" w:eastAsia="华文细黑" w:hAnsiTheme="minorHAnsi" w:cs="宋体" w:hint="eastAsia"/>
                <w:b/>
                <w:bCs/>
                <w:color w:val="FFFFFF" w:themeColor="background1"/>
                <w:sz w:val="20"/>
                <w:szCs w:val="20"/>
              </w:rPr>
              <w:t>债券名称</w:t>
            </w:r>
          </w:p>
        </w:tc>
        <w:tc>
          <w:tcPr>
            <w:tcW w:w="850" w:type="dxa"/>
            <w:shd w:val="clear" w:color="auto" w:fill="0070C0"/>
            <w:vAlign w:val="center"/>
          </w:tcPr>
          <w:p w14:paraId="399456B7" w14:textId="77777777" w:rsidR="002D3F6F" w:rsidRPr="00DD2AEA" w:rsidRDefault="002D3F6F" w:rsidP="0076641D">
            <w:pPr>
              <w:jc w:val="center"/>
              <w:rPr>
                <w:rFonts w:asciiTheme="minorHAnsi" w:eastAsia="华文细黑" w:hAnsiTheme="minorHAnsi" w:cs="宋体"/>
                <w:b/>
                <w:bCs/>
                <w:color w:val="FFFFFF" w:themeColor="background1"/>
                <w:sz w:val="20"/>
                <w:szCs w:val="20"/>
              </w:rPr>
            </w:pPr>
            <w:r w:rsidRPr="00DD2AEA">
              <w:rPr>
                <w:rFonts w:asciiTheme="minorHAnsi" w:eastAsia="华文细黑" w:hAnsiTheme="minorHAnsi" w:cs="宋体" w:hint="eastAsia"/>
                <w:b/>
                <w:bCs/>
                <w:color w:val="FFFFFF" w:themeColor="background1"/>
                <w:sz w:val="20"/>
                <w:szCs w:val="20"/>
              </w:rPr>
              <w:t>债券期限</w:t>
            </w:r>
          </w:p>
        </w:tc>
        <w:tc>
          <w:tcPr>
            <w:tcW w:w="998" w:type="dxa"/>
            <w:shd w:val="clear" w:color="auto" w:fill="0070C0"/>
            <w:vAlign w:val="center"/>
          </w:tcPr>
          <w:p w14:paraId="0ACF6FB8" w14:textId="77777777" w:rsidR="002D3F6F" w:rsidRPr="00DD2AEA" w:rsidRDefault="002D3F6F" w:rsidP="0076641D">
            <w:pPr>
              <w:jc w:val="center"/>
              <w:rPr>
                <w:rFonts w:asciiTheme="minorHAnsi" w:eastAsia="华文细黑" w:hAnsiTheme="minorHAnsi" w:cs="宋体"/>
                <w:b/>
                <w:bCs/>
                <w:color w:val="FFFFFF" w:themeColor="background1"/>
                <w:sz w:val="20"/>
                <w:szCs w:val="20"/>
              </w:rPr>
            </w:pPr>
            <w:r w:rsidRPr="00DD2AEA">
              <w:rPr>
                <w:rFonts w:asciiTheme="minorHAnsi" w:eastAsia="华文细黑" w:hAnsiTheme="minorHAnsi" w:cs="宋体" w:hint="eastAsia"/>
                <w:b/>
                <w:bCs/>
                <w:color w:val="FFFFFF" w:themeColor="background1"/>
                <w:sz w:val="20"/>
                <w:szCs w:val="20"/>
              </w:rPr>
              <w:t>债券利率</w:t>
            </w:r>
          </w:p>
        </w:tc>
        <w:tc>
          <w:tcPr>
            <w:tcW w:w="1701" w:type="dxa"/>
            <w:shd w:val="clear" w:color="auto" w:fill="0070C0"/>
            <w:noWrap/>
            <w:vAlign w:val="center"/>
          </w:tcPr>
          <w:p w14:paraId="52FD9306" w14:textId="77777777" w:rsidR="002D3F6F" w:rsidRPr="00DD2AEA" w:rsidRDefault="002D3F6F" w:rsidP="0076641D">
            <w:pPr>
              <w:jc w:val="center"/>
              <w:rPr>
                <w:rFonts w:asciiTheme="minorHAnsi" w:eastAsia="华文细黑" w:hAnsiTheme="minorHAnsi" w:cs="宋体"/>
                <w:b/>
                <w:bCs/>
                <w:color w:val="FFFFFF" w:themeColor="background1"/>
                <w:sz w:val="20"/>
                <w:szCs w:val="20"/>
              </w:rPr>
            </w:pPr>
            <w:r w:rsidRPr="00DD2AEA">
              <w:rPr>
                <w:rFonts w:asciiTheme="minorHAnsi" w:eastAsia="华文细黑" w:hAnsiTheme="minorHAnsi" w:cs="宋体" w:hint="eastAsia"/>
                <w:b/>
                <w:bCs/>
                <w:color w:val="FFFFFF" w:themeColor="background1"/>
                <w:sz w:val="20"/>
                <w:szCs w:val="20"/>
              </w:rPr>
              <w:t>调减项目</w:t>
            </w:r>
          </w:p>
        </w:tc>
        <w:tc>
          <w:tcPr>
            <w:tcW w:w="1275" w:type="dxa"/>
            <w:shd w:val="clear" w:color="auto" w:fill="0070C0"/>
            <w:noWrap/>
            <w:vAlign w:val="center"/>
          </w:tcPr>
          <w:p w14:paraId="64FE3B53" w14:textId="77777777" w:rsidR="002D3F6F" w:rsidRPr="00DD2AEA" w:rsidRDefault="002D3F6F" w:rsidP="0076641D">
            <w:pPr>
              <w:jc w:val="center"/>
              <w:rPr>
                <w:rFonts w:asciiTheme="minorHAnsi" w:eastAsia="华文细黑" w:hAnsiTheme="minorHAnsi" w:cs="宋体"/>
                <w:b/>
                <w:bCs/>
                <w:color w:val="FFFFFF" w:themeColor="background1"/>
                <w:sz w:val="20"/>
                <w:szCs w:val="20"/>
              </w:rPr>
            </w:pPr>
            <w:r w:rsidRPr="00DD2AEA">
              <w:rPr>
                <w:rFonts w:asciiTheme="minorHAnsi" w:eastAsia="华文细黑" w:hAnsiTheme="minorHAnsi" w:cs="宋体" w:hint="eastAsia"/>
                <w:b/>
                <w:bCs/>
                <w:color w:val="FFFFFF" w:themeColor="background1"/>
                <w:sz w:val="20"/>
                <w:szCs w:val="20"/>
              </w:rPr>
              <w:t>调减额度</w:t>
            </w:r>
          </w:p>
        </w:tc>
        <w:tc>
          <w:tcPr>
            <w:tcW w:w="1843" w:type="dxa"/>
            <w:shd w:val="clear" w:color="auto" w:fill="0070C0"/>
            <w:vAlign w:val="center"/>
          </w:tcPr>
          <w:p w14:paraId="0836B972" w14:textId="77777777" w:rsidR="002D3F6F" w:rsidRPr="00DD2AEA" w:rsidRDefault="002D3F6F" w:rsidP="0076641D">
            <w:pPr>
              <w:jc w:val="center"/>
              <w:rPr>
                <w:rFonts w:asciiTheme="minorHAnsi" w:eastAsia="华文细黑" w:hAnsiTheme="minorHAnsi" w:cs="宋体"/>
                <w:b/>
                <w:bCs/>
                <w:color w:val="FFFFFF" w:themeColor="background1"/>
                <w:sz w:val="20"/>
                <w:szCs w:val="20"/>
              </w:rPr>
            </w:pPr>
            <w:r>
              <w:rPr>
                <w:rFonts w:asciiTheme="minorHAnsi" w:eastAsia="华文细黑" w:hAnsiTheme="minorHAnsi" w:cs="宋体" w:hint="eastAsia"/>
                <w:b/>
                <w:bCs/>
                <w:color w:val="FFFFFF" w:themeColor="background1"/>
                <w:sz w:val="20"/>
                <w:szCs w:val="20"/>
              </w:rPr>
              <w:t>调增项目</w:t>
            </w:r>
          </w:p>
        </w:tc>
        <w:tc>
          <w:tcPr>
            <w:tcW w:w="1276" w:type="dxa"/>
            <w:shd w:val="clear" w:color="auto" w:fill="0070C0"/>
            <w:vAlign w:val="center"/>
          </w:tcPr>
          <w:p w14:paraId="3674F92C" w14:textId="77777777" w:rsidR="002D3F6F" w:rsidRDefault="002D3F6F" w:rsidP="0076641D">
            <w:pPr>
              <w:jc w:val="center"/>
              <w:rPr>
                <w:rFonts w:asciiTheme="minorHAnsi" w:eastAsia="华文细黑" w:hAnsiTheme="minorHAnsi" w:cs="宋体"/>
                <w:b/>
                <w:bCs/>
                <w:color w:val="FFFFFF" w:themeColor="background1"/>
                <w:sz w:val="20"/>
                <w:szCs w:val="20"/>
              </w:rPr>
            </w:pPr>
            <w:r>
              <w:rPr>
                <w:rFonts w:asciiTheme="minorHAnsi" w:eastAsia="华文细黑" w:hAnsiTheme="minorHAnsi" w:cs="宋体" w:hint="eastAsia"/>
                <w:b/>
                <w:bCs/>
                <w:color w:val="FFFFFF" w:themeColor="background1"/>
                <w:sz w:val="20"/>
                <w:szCs w:val="20"/>
              </w:rPr>
              <w:t>调增额度</w:t>
            </w:r>
          </w:p>
        </w:tc>
      </w:tr>
      <w:tr w:rsidR="002D3F6F" w:rsidRPr="001D2678" w14:paraId="05A3252E" w14:textId="77777777" w:rsidTr="00C85078">
        <w:trPr>
          <w:trHeight w:val="312"/>
          <w:jc w:val="center"/>
        </w:trPr>
        <w:tc>
          <w:tcPr>
            <w:tcW w:w="1702" w:type="dxa"/>
            <w:vAlign w:val="center"/>
          </w:tcPr>
          <w:p w14:paraId="6FF49447" w14:textId="2D878FF5" w:rsidR="002D3F6F" w:rsidRPr="00DD2AEA" w:rsidRDefault="002D3F6F" w:rsidP="002D3F6F">
            <w:pPr>
              <w:jc w:val="center"/>
              <w:rPr>
                <w:rFonts w:asciiTheme="minorHAnsi" w:eastAsia="华文细黑" w:hAnsiTheme="minorHAnsi" w:cs="Calibri"/>
                <w:color w:val="000000" w:themeColor="text1"/>
                <w:sz w:val="20"/>
                <w:szCs w:val="20"/>
              </w:rPr>
            </w:pPr>
            <w:r w:rsidRPr="002D3F6F">
              <w:rPr>
                <w:rFonts w:asciiTheme="minorHAnsi" w:eastAsia="华文细黑" w:hAnsiTheme="minorHAnsi" w:cs="Calibri"/>
                <w:color w:val="000000" w:themeColor="text1"/>
                <w:sz w:val="20"/>
                <w:szCs w:val="20"/>
              </w:rPr>
              <w:t>2024</w:t>
            </w:r>
            <w:r w:rsidRPr="002D3F6F">
              <w:rPr>
                <w:rFonts w:asciiTheme="minorHAnsi" w:eastAsia="华文细黑" w:hAnsiTheme="minorHAnsi" w:cs="Calibri" w:hint="eastAsia"/>
                <w:color w:val="000000" w:themeColor="text1"/>
                <w:sz w:val="20"/>
                <w:szCs w:val="20"/>
              </w:rPr>
              <w:t>年海南省政府专项债券（二十四期）</w:t>
            </w:r>
          </w:p>
        </w:tc>
        <w:tc>
          <w:tcPr>
            <w:tcW w:w="850" w:type="dxa"/>
            <w:vAlign w:val="center"/>
          </w:tcPr>
          <w:p w14:paraId="14E95198" w14:textId="0C3B640A" w:rsidR="002D3F6F" w:rsidRPr="00DD2AEA" w:rsidRDefault="002D3F6F" w:rsidP="0076641D">
            <w:pPr>
              <w:jc w:val="center"/>
              <w:rPr>
                <w:rFonts w:asciiTheme="minorHAnsi" w:eastAsia="华文细黑" w:hAnsiTheme="minorHAnsi" w:cs="Calibri"/>
                <w:color w:val="000000" w:themeColor="text1"/>
                <w:sz w:val="20"/>
                <w:szCs w:val="20"/>
              </w:rPr>
            </w:pPr>
            <w:r w:rsidRPr="002D3F6F">
              <w:rPr>
                <w:rFonts w:asciiTheme="minorHAnsi" w:eastAsia="华文细黑" w:hAnsiTheme="minorHAnsi" w:cs="Calibri"/>
                <w:color w:val="000000" w:themeColor="text1"/>
                <w:sz w:val="20"/>
                <w:szCs w:val="20"/>
              </w:rPr>
              <w:t>10</w:t>
            </w:r>
            <w:r w:rsidRPr="002D3F6F">
              <w:rPr>
                <w:rFonts w:asciiTheme="minorHAnsi" w:eastAsia="华文细黑" w:hAnsiTheme="minorHAnsi" w:cs="Calibri" w:hint="eastAsia"/>
                <w:color w:val="000000" w:themeColor="text1"/>
                <w:sz w:val="20"/>
                <w:szCs w:val="20"/>
              </w:rPr>
              <w:t>年</w:t>
            </w:r>
          </w:p>
        </w:tc>
        <w:tc>
          <w:tcPr>
            <w:tcW w:w="998" w:type="dxa"/>
            <w:vAlign w:val="center"/>
          </w:tcPr>
          <w:p w14:paraId="55EBF9FA" w14:textId="6A5E6EEE" w:rsidR="002D3F6F" w:rsidRPr="00DD2AEA" w:rsidRDefault="002D3F6F" w:rsidP="0076641D">
            <w:pPr>
              <w:jc w:val="center"/>
              <w:rPr>
                <w:rFonts w:asciiTheme="minorHAnsi" w:eastAsia="华文细黑" w:hAnsiTheme="minorHAnsi" w:cs="Calibri"/>
                <w:color w:val="000000" w:themeColor="text1"/>
                <w:sz w:val="20"/>
                <w:szCs w:val="20"/>
              </w:rPr>
            </w:pPr>
            <w:r w:rsidRPr="002D3F6F">
              <w:rPr>
                <w:rFonts w:asciiTheme="minorHAnsi" w:eastAsia="华文细黑" w:hAnsiTheme="minorHAnsi" w:cs="Calibri"/>
                <w:color w:val="000000" w:themeColor="text1"/>
                <w:sz w:val="20"/>
                <w:szCs w:val="20"/>
              </w:rPr>
              <w:t>2.29%</w:t>
            </w:r>
          </w:p>
        </w:tc>
        <w:tc>
          <w:tcPr>
            <w:tcW w:w="1701" w:type="dxa"/>
            <w:shd w:val="clear" w:color="auto" w:fill="auto"/>
            <w:noWrap/>
            <w:vAlign w:val="center"/>
          </w:tcPr>
          <w:p w14:paraId="58E1C9C7" w14:textId="78D48176" w:rsidR="002D3F6F" w:rsidRPr="00DD2AEA" w:rsidRDefault="002D3F6F" w:rsidP="0076641D">
            <w:pPr>
              <w:rPr>
                <w:rFonts w:asciiTheme="minorHAnsi" w:eastAsia="华文细黑" w:hAnsiTheme="minorHAnsi" w:cs="Calibri"/>
                <w:color w:val="000000" w:themeColor="text1"/>
                <w:sz w:val="20"/>
                <w:szCs w:val="20"/>
              </w:rPr>
            </w:pPr>
            <w:r w:rsidRPr="002D3F6F">
              <w:rPr>
                <w:rFonts w:asciiTheme="minorHAnsi" w:eastAsia="华文细黑" w:hAnsiTheme="minorHAnsi" w:cs="Calibri" w:hint="eastAsia"/>
                <w:color w:val="000000" w:themeColor="text1"/>
                <w:sz w:val="20"/>
                <w:szCs w:val="20"/>
              </w:rPr>
              <w:t>三亚东岸片区丹东西路和东岸西二路项目</w:t>
            </w:r>
          </w:p>
        </w:tc>
        <w:tc>
          <w:tcPr>
            <w:tcW w:w="1275" w:type="dxa"/>
            <w:shd w:val="clear" w:color="auto" w:fill="auto"/>
            <w:noWrap/>
            <w:vAlign w:val="center"/>
          </w:tcPr>
          <w:p w14:paraId="6906CEF4" w14:textId="5BF1E87B" w:rsidR="002D3F6F" w:rsidRPr="00DD2AEA" w:rsidRDefault="002D3F6F" w:rsidP="0076641D">
            <w:pPr>
              <w:jc w:val="right"/>
              <w:rPr>
                <w:rFonts w:asciiTheme="minorHAnsi" w:eastAsia="华文细黑" w:hAnsiTheme="minorHAnsi"/>
                <w:color w:val="000000" w:themeColor="text1"/>
                <w:sz w:val="20"/>
                <w:szCs w:val="20"/>
              </w:rPr>
            </w:pPr>
            <w:r w:rsidRPr="002D3F6F">
              <w:rPr>
                <w:rFonts w:asciiTheme="minorHAnsi" w:eastAsia="华文细黑" w:hAnsiTheme="minorHAnsi"/>
                <w:color w:val="000000" w:themeColor="text1"/>
                <w:sz w:val="20"/>
                <w:szCs w:val="20"/>
              </w:rPr>
              <w:t>1,000.00</w:t>
            </w:r>
          </w:p>
        </w:tc>
        <w:tc>
          <w:tcPr>
            <w:tcW w:w="1843" w:type="dxa"/>
            <w:vAlign w:val="center"/>
          </w:tcPr>
          <w:p w14:paraId="453E438D" w14:textId="1512D930" w:rsidR="002D3F6F" w:rsidRPr="00DD2AEA" w:rsidRDefault="002D3F6F" w:rsidP="0076641D">
            <w:pPr>
              <w:jc w:val="both"/>
              <w:rPr>
                <w:rFonts w:asciiTheme="minorHAnsi" w:eastAsia="华文细黑" w:hAnsiTheme="minorHAnsi"/>
                <w:color w:val="000000" w:themeColor="text1"/>
                <w:sz w:val="20"/>
                <w:szCs w:val="20"/>
              </w:rPr>
            </w:pPr>
            <w:r w:rsidRPr="002D3F6F">
              <w:rPr>
                <w:rFonts w:asciiTheme="minorHAnsi" w:eastAsia="华文细黑" w:hAnsiTheme="minorHAnsi" w:hint="eastAsia"/>
                <w:color w:val="000000" w:themeColor="text1"/>
                <w:sz w:val="20"/>
                <w:szCs w:val="20"/>
              </w:rPr>
              <w:t>三亚市</w:t>
            </w:r>
            <w:r w:rsidRPr="002D3F6F">
              <w:rPr>
                <w:rFonts w:asciiTheme="minorHAnsi" w:eastAsia="华文细黑" w:hAnsiTheme="minorHAnsi"/>
                <w:color w:val="000000" w:themeColor="text1"/>
                <w:sz w:val="20"/>
                <w:szCs w:val="20"/>
              </w:rPr>
              <w:t>2023</w:t>
            </w:r>
            <w:r w:rsidRPr="002D3F6F">
              <w:rPr>
                <w:rFonts w:asciiTheme="minorHAnsi" w:eastAsia="华文细黑" w:hAnsiTheme="minorHAnsi" w:hint="eastAsia"/>
                <w:color w:val="000000" w:themeColor="text1"/>
                <w:sz w:val="20"/>
                <w:szCs w:val="20"/>
              </w:rPr>
              <w:t>年农村饮水巩固提升工程</w:t>
            </w:r>
          </w:p>
        </w:tc>
        <w:tc>
          <w:tcPr>
            <w:tcW w:w="1276" w:type="dxa"/>
            <w:vAlign w:val="center"/>
          </w:tcPr>
          <w:p w14:paraId="00B25B0F" w14:textId="0A429F2A" w:rsidR="002D3F6F" w:rsidRPr="00DD2AEA" w:rsidRDefault="002D3F6F" w:rsidP="0076641D">
            <w:pPr>
              <w:jc w:val="right"/>
              <w:rPr>
                <w:rFonts w:asciiTheme="minorHAnsi" w:eastAsia="华文细黑" w:hAnsiTheme="minorHAnsi"/>
                <w:color w:val="000000" w:themeColor="text1"/>
                <w:sz w:val="20"/>
                <w:szCs w:val="20"/>
              </w:rPr>
            </w:pPr>
            <w:r w:rsidRPr="002D3F6F">
              <w:rPr>
                <w:rFonts w:asciiTheme="minorHAnsi" w:eastAsia="华文细黑" w:hAnsiTheme="minorHAnsi"/>
                <w:color w:val="000000" w:themeColor="text1"/>
                <w:sz w:val="20"/>
                <w:szCs w:val="20"/>
              </w:rPr>
              <w:t>1,000.00</w:t>
            </w:r>
          </w:p>
        </w:tc>
      </w:tr>
      <w:tr w:rsidR="002D3F6F" w:rsidRPr="001D2678" w14:paraId="6799E862" w14:textId="77777777" w:rsidTr="00C85078">
        <w:trPr>
          <w:trHeight w:val="312"/>
          <w:jc w:val="center"/>
        </w:trPr>
        <w:tc>
          <w:tcPr>
            <w:tcW w:w="1702" w:type="dxa"/>
            <w:vAlign w:val="center"/>
          </w:tcPr>
          <w:p w14:paraId="1E3ECBCA" w14:textId="77777777" w:rsidR="002D3F6F" w:rsidRPr="002D3F6F" w:rsidRDefault="002D3F6F" w:rsidP="002D3F6F">
            <w:pPr>
              <w:jc w:val="center"/>
              <w:rPr>
                <w:rFonts w:asciiTheme="minorHAnsi" w:eastAsia="华文细黑" w:hAnsiTheme="minorHAnsi" w:cs="Calibri"/>
                <w:color w:val="000000" w:themeColor="text1"/>
                <w:sz w:val="20"/>
                <w:szCs w:val="20"/>
              </w:rPr>
            </w:pPr>
            <w:r w:rsidRPr="002D3F6F">
              <w:rPr>
                <w:rFonts w:asciiTheme="minorHAnsi" w:eastAsia="华文细黑" w:hAnsiTheme="minorHAnsi" w:cs="Calibri"/>
                <w:color w:val="000000" w:themeColor="text1"/>
                <w:sz w:val="20"/>
                <w:szCs w:val="20"/>
              </w:rPr>
              <w:t>2024</w:t>
            </w:r>
            <w:r w:rsidRPr="002D3F6F">
              <w:rPr>
                <w:rFonts w:asciiTheme="minorHAnsi" w:eastAsia="华文细黑" w:hAnsiTheme="minorHAnsi" w:cs="Calibri" w:hint="eastAsia"/>
                <w:color w:val="000000" w:themeColor="text1"/>
                <w:sz w:val="20"/>
                <w:szCs w:val="20"/>
              </w:rPr>
              <w:t>年海南省政府专项债券</w:t>
            </w:r>
          </w:p>
          <w:p w14:paraId="06561815" w14:textId="6A1CD288" w:rsidR="002D3F6F" w:rsidRPr="002D3F6F" w:rsidRDefault="002D3F6F" w:rsidP="002D3F6F">
            <w:pPr>
              <w:jc w:val="center"/>
              <w:rPr>
                <w:rFonts w:asciiTheme="minorHAnsi" w:eastAsia="华文细黑" w:hAnsiTheme="minorHAnsi" w:cs="Calibri"/>
                <w:color w:val="000000" w:themeColor="text1"/>
                <w:sz w:val="20"/>
                <w:szCs w:val="20"/>
              </w:rPr>
            </w:pPr>
            <w:r w:rsidRPr="002D3F6F">
              <w:rPr>
                <w:rFonts w:asciiTheme="minorHAnsi" w:eastAsia="华文细黑" w:hAnsiTheme="minorHAnsi" w:cs="Calibri" w:hint="eastAsia"/>
                <w:color w:val="000000" w:themeColor="text1"/>
                <w:sz w:val="20"/>
                <w:szCs w:val="20"/>
              </w:rPr>
              <w:t>（二十五期）</w:t>
            </w:r>
          </w:p>
        </w:tc>
        <w:tc>
          <w:tcPr>
            <w:tcW w:w="850" w:type="dxa"/>
            <w:vAlign w:val="center"/>
          </w:tcPr>
          <w:p w14:paraId="2FE68D36" w14:textId="13F4C2E4" w:rsidR="002D3F6F" w:rsidRPr="002D3F6F" w:rsidRDefault="002D3F6F" w:rsidP="0076641D">
            <w:pPr>
              <w:jc w:val="center"/>
              <w:rPr>
                <w:rFonts w:asciiTheme="minorHAnsi" w:eastAsia="华文细黑" w:hAnsiTheme="minorHAnsi" w:cs="Calibri"/>
                <w:color w:val="000000" w:themeColor="text1"/>
                <w:sz w:val="20"/>
                <w:szCs w:val="20"/>
              </w:rPr>
            </w:pPr>
            <w:r w:rsidRPr="002D3F6F">
              <w:rPr>
                <w:rFonts w:asciiTheme="minorHAnsi" w:eastAsia="华文细黑" w:hAnsiTheme="minorHAnsi" w:cs="Calibri"/>
                <w:color w:val="000000" w:themeColor="text1"/>
                <w:sz w:val="20"/>
                <w:szCs w:val="20"/>
              </w:rPr>
              <w:t>15</w:t>
            </w:r>
            <w:r w:rsidRPr="002D3F6F">
              <w:rPr>
                <w:rFonts w:asciiTheme="minorHAnsi" w:eastAsia="华文细黑" w:hAnsiTheme="minorHAnsi" w:cs="Calibri" w:hint="eastAsia"/>
                <w:color w:val="000000" w:themeColor="text1"/>
                <w:sz w:val="20"/>
                <w:szCs w:val="20"/>
              </w:rPr>
              <w:t>年</w:t>
            </w:r>
          </w:p>
        </w:tc>
        <w:tc>
          <w:tcPr>
            <w:tcW w:w="998" w:type="dxa"/>
            <w:vAlign w:val="center"/>
          </w:tcPr>
          <w:p w14:paraId="3AC41135" w14:textId="5F25D6FD" w:rsidR="002D3F6F" w:rsidRPr="002D3F6F" w:rsidRDefault="002D3F6F" w:rsidP="0076641D">
            <w:pPr>
              <w:jc w:val="center"/>
              <w:rPr>
                <w:rFonts w:asciiTheme="minorHAnsi" w:eastAsia="华文细黑" w:hAnsiTheme="minorHAnsi" w:cs="Calibri"/>
                <w:color w:val="000000" w:themeColor="text1"/>
                <w:sz w:val="20"/>
                <w:szCs w:val="20"/>
              </w:rPr>
            </w:pPr>
            <w:r w:rsidRPr="002D3F6F">
              <w:rPr>
                <w:rFonts w:asciiTheme="minorHAnsi" w:eastAsia="华文细黑" w:hAnsiTheme="minorHAnsi" w:cs="Calibri"/>
                <w:color w:val="000000" w:themeColor="text1"/>
                <w:sz w:val="20"/>
                <w:szCs w:val="20"/>
              </w:rPr>
              <w:t>2.4%</w:t>
            </w:r>
          </w:p>
        </w:tc>
        <w:tc>
          <w:tcPr>
            <w:tcW w:w="1701" w:type="dxa"/>
            <w:shd w:val="clear" w:color="auto" w:fill="auto"/>
            <w:noWrap/>
            <w:vAlign w:val="center"/>
          </w:tcPr>
          <w:p w14:paraId="0ED4E7C3" w14:textId="2B0162CE" w:rsidR="002D3F6F" w:rsidRPr="002D3F6F" w:rsidRDefault="002D3F6F" w:rsidP="0076641D">
            <w:pPr>
              <w:rPr>
                <w:rFonts w:asciiTheme="minorHAnsi" w:eastAsia="华文细黑" w:hAnsiTheme="minorHAnsi" w:cs="Calibri"/>
                <w:color w:val="000000" w:themeColor="text1"/>
                <w:sz w:val="20"/>
                <w:szCs w:val="20"/>
              </w:rPr>
            </w:pPr>
            <w:r w:rsidRPr="002D3F6F">
              <w:rPr>
                <w:rFonts w:asciiTheme="minorHAnsi" w:eastAsia="华文细黑" w:hAnsiTheme="minorHAnsi" w:cs="Calibri" w:hint="eastAsia"/>
                <w:color w:val="000000" w:themeColor="text1"/>
                <w:sz w:val="20"/>
                <w:szCs w:val="20"/>
              </w:rPr>
              <w:t>三亚市抱坡溪东片区排水管网提质增效工程</w:t>
            </w:r>
          </w:p>
        </w:tc>
        <w:tc>
          <w:tcPr>
            <w:tcW w:w="1275" w:type="dxa"/>
            <w:shd w:val="clear" w:color="auto" w:fill="auto"/>
            <w:noWrap/>
            <w:vAlign w:val="center"/>
          </w:tcPr>
          <w:p w14:paraId="18CBDE96" w14:textId="7666CD8C" w:rsidR="002D3F6F" w:rsidRPr="002D3F6F" w:rsidRDefault="002D3F6F" w:rsidP="0076641D">
            <w:pPr>
              <w:jc w:val="right"/>
              <w:rPr>
                <w:rFonts w:asciiTheme="minorHAnsi" w:eastAsia="华文细黑" w:hAnsiTheme="minorHAnsi"/>
                <w:color w:val="000000" w:themeColor="text1"/>
                <w:sz w:val="20"/>
                <w:szCs w:val="20"/>
              </w:rPr>
            </w:pPr>
            <w:r w:rsidRPr="002D3F6F">
              <w:rPr>
                <w:rFonts w:asciiTheme="minorHAnsi" w:eastAsia="华文细黑" w:hAnsiTheme="minorHAnsi"/>
                <w:color w:val="000000" w:themeColor="text1"/>
                <w:sz w:val="20"/>
                <w:szCs w:val="20"/>
              </w:rPr>
              <w:t>500.00</w:t>
            </w:r>
          </w:p>
        </w:tc>
        <w:tc>
          <w:tcPr>
            <w:tcW w:w="1843" w:type="dxa"/>
            <w:vAlign w:val="center"/>
          </w:tcPr>
          <w:p w14:paraId="6026E38D" w14:textId="6095E1CE" w:rsidR="002D3F6F" w:rsidRPr="002D3F6F" w:rsidRDefault="002D3F6F" w:rsidP="0076641D">
            <w:pPr>
              <w:jc w:val="both"/>
              <w:rPr>
                <w:rFonts w:asciiTheme="minorHAnsi" w:eastAsia="华文细黑" w:hAnsiTheme="minorHAnsi"/>
                <w:color w:val="000000" w:themeColor="text1"/>
                <w:sz w:val="20"/>
                <w:szCs w:val="20"/>
              </w:rPr>
            </w:pPr>
            <w:r w:rsidRPr="002D3F6F">
              <w:rPr>
                <w:rFonts w:asciiTheme="minorHAnsi" w:eastAsia="华文细黑" w:hAnsiTheme="minorHAnsi" w:hint="eastAsia"/>
                <w:color w:val="000000" w:themeColor="text1"/>
                <w:sz w:val="20"/>
                <w:szCs w:val="20"/>
              </w:rPr>
              <w:t>三亚市鹿回头及</w:t>
            </w:r>
            <w:proofErr w:type="gramStart"/>
            <w:r w:rsidRPr="002D3F6F">
              <w:rPr>
                <w:rFonts w:asciiTheme="minorHAnsi" w:eastAsia="华文细黑" w:hAnsiTheme="minorHAnsi" w:hint="eastAsia"/>
                <w:color w:val="000000" w:themeColor="text1"/>
                <w:sz w:val="20"/>
                <w:szCs w:val="20"/>
              </w:rPr>
              <w:t>红沙南片区</w:t>
            </w:r>
            <w:proofErr w:type="gramEnd"/>
            <w:r w:rsidRPr="002D3F6F">
              <w:rPr>
                <w:rFonts w:asciiTheme="minorHAnsi" w:eastAsia="华文细黑" w:hAnsiTheme="minorHAnsi" w:hint="eastAsia"/>
                <w:color w:val="000000" w:themeColor="text1"/>
                <w:sz w:val="20"/>
                <w:szCs w:val="20"/>
              </w:rPr>
              <w:t>排水管网提质增效工程</w:t>
            </w:r>
          </w:p>
        </w:tc>
        <w:tc>
          <w:tcPr>
            <w:tcW w:w="1276" w:type="dxa"/>
            <w:vAlign w:val="center"/>
          </w:tcPr>
          <w:p w14:paraId="4EF487DD" w14:textId="42486050" w:rsidR="002D3F6F" w:rsidRPr="002D3F6F" w:rsidRDefault="002D3F6F" w:rsidP="0076641D">
            <w:pPr>
              <w:jc w:val="right"/>
              <w:rPr>
                <w:rFonts w:asciiTheme="minorHAnsi" w:eastAsia="华文细黑" w:hAnsiTheme="minorHAnsi"/>
                <w:color w:val="000000" w:themeColor="text1"/>
                <w:sz w:val="20"/>
                <w:szCs w:val="20"/>
              </w:rPr>
            </w:pPr>
            <w:r w:rsidRPr="002D3F6F">
              <w:rPr>
                <w:rFonts w:asciiTheme="minorHAnsi" w:eastAsia="华文细黑" w:hAnsiTheme="minorHAnsi"/>
                <w:color w:val="000000" w:themeColor="text1"/>
                <w:sz w:val="20"/>
                <w:szCs w:val="20"/>
              </w:rPr>
              <w:t>500.00</w:t>
            </w:r>
          </w:p>
        </w:tc>
      </w:tr>
      <w:tr w:rsidR="002D3F6F" w:rsidRPr="001D2678" w14:paraId="7EA648E1" w14:textId="77777777" w:rsidTr="002D3F6F">
        <w:trPr>
          <w:trHeight w:val="312"/>
          <w:jc w:val="center"/>
        </w:trPr>
        <w:tc>
          <w:tcPr>
            <w:tcW w:w="5251" w:type="dxa"/>
            <w:gridSpan w:val="4"/>
            <w:vAlign w:val="center"/>
          </w:tcPr>
          <w:p w14:paraId="714C0C33" w14:textId="77777777" w:rsidR="002D3F6F" w:rsidRPr="004B465C" w:rsidRDefault="002D3F6F" w:rsidP="0076641D">
            <w:pPr>
              <w:jc w:val="center"/>
              <w:rPr>
                <w:rFonts w:asciiTheme="minorHAnsi" w:eastAsia="华文细黑" w:hAnsiTheme="minorHAnsi" w:cs="Calibri"/>
                <w:b/>
                <w:bCs/>
                <w:color w:val="000000" w:themeColor="text1"/>
                <w:sz w:val="20"/>
                <w:szCs w:val="20"/>
              </w:rPr>
            </w:pPr>
            <w:r w:rsidRPr="004B465C">
              <w:rPr>
                <w:rFonts w:asciiTheme="minorHAnsi" w:eastAsia="华文细黑" w:hAnsiTheme="minorHAnsi" w:cs="Calibri" w:hint="eastAsia"/>
                <w:b/>
                <w:bCs/>
                <w:color w:val="000000" w:themeColor="text1"/>
                <w:sz w:val="20"/>
                <w:szCs w:val="20"/>
              </w:rPr>
              <w:t>合计</w:t>
            </w:r>
          </w:p>
        </w:tc>
        <w:tc>
          <w:tcPr>
            <w:tcW w:w="1275" w:type="dxa"/>
            <w:shd w:val="clear" w:color="auto" w:fill="auto"/>
            <w:noWrap/>
            <w:vAlign w:val="center"/>
          </w:tcPr>
          <w:p w14:paraId="0D7CEB61" w14:textId="77777777" w:rsidR="002D3F6F" w:rsidRPr="004B465C" w:rsidRDefault="002D3F6F" w:rsidP="0076641D">
            <w:pPr>
              <w:jc w:val="right"/>
              <w:rPr>
                <w:rFonts w:asciiTheme="minorHAnsi" w:eastAsia="华文细黑" w:hAnsiTheme="minorHAnsi"/>
                <w:b/>
                <w:bCs/>
                <w:color w:val="000000" w:themeColor="text1"/>
                <w:sz w:val="20"/>
                <w:szCs w:val="20"/>
              </w:rPr>
            </w:pPr>
            <w:r w:rsidRPr="00977162">
              <w:rPr>
                <w:rFonts w:asciiTheme="minorHAnsi" w:eastAsia="华文细黑" w:hAnsiTheme="minorHAnsi" w:cs="Calibri"/>
                <w:b/>
                <w:bCs/>
                <w:color w:val="000000" w:themeColor="text1"/>
                <w:sz w:val="20"/>
                <w:szCs w:val="20"/>
              </w:rPr>
              <w:t>1,500.00</w:t>
            </w:r>
          </w:p>
        </w:tc>
        <w:tc>
          <w:tcPr>
            <w:tcW w:w="1843" w:type="dxa"/>
            <w:vAlign w:val="center"/>
          </w:tcPr>
          <w:p w14:paraId="0C5E9C9E" w14:textId="77777777" w:rsidR="002D3F6F" w:rsidRPr="004B465C" w:rsidRDefault="002D3F6F" w:rsidP="0076641D">
            <w:pPr>
              <w:jc w:val="right"/>
              <w:rPr>
                <w:rFonts w:asciiTheme="minorHAnsi" w:eastAsia="华文细黑" w:hAnsiTheme="minorHAnsi"/>
                <w:b/>
                <w:bCs/>
                <w:color w:val="000000" w:themeColor="text1"/>
                <w:sz w:val="20"/>
                <w:szCs w:val="20"/>
              </w:rPr>
            </w:pPr>
          </w:p>
        </w:tc>
        <w:tc>
          <w:tcPr>
            <w:tcW w:w="1276" w:type="dxa"/>
            <w:vAlign w:val="center"/>
          </w:tcPr>
          <w:p w14:paraId="24AB0B9A" w14:textId="77777777" w:rsidR="002D3F6F" w:rsidRPr="004B465C" w:rsidRDefault="002D3F6F" w:rsidP="0076641D">
            <w:pPr>
              <w:jc w:val="right"/>
              <w:rPr>
                <w:rFonts w:asciiTheme="minorHAnsi" w:eastAsia="华文细黑" w:hAnsiTheme="minorHAnsi"/>
                <w:b/>
                <w:bCs/>
                <w:color w:val="000000" w:themeColor="text1"/>
                <w:sz w:val="20"/>
                <w:szCs w:val="20"/>
              </w:rPr>
            </w:pPr>
            <w:r w:rsidRPr="00977162">
              <w:rPr>
                <w:rFonts w:asciiTheme="minorHAnsi" w:eastAsia="华文细黑" w:hAnsiTheme="minorHAnsi" w:cs="Calibri"/>
                <w:b/>
                <w:bCs/>
                <w:color w:val="000000" w:themeColor="text1"/>
                <w:sz w:val="20"/>
                <w:szCs w:val="20"/>
              </w:rPr>
              <w:t>1,</w:t>
            </w:r>
            <w:r>
              <w:rPr>
                <w:rFonts w:asciiTheme="minorHAnsi" w:eastAsia="华文细黑" w:hAnsiTheme="minorHAnsi" w:cs="Calibri" w:hint="eastAsia"/>
                <w:b/>
                <w:bCs/>
                <w:color w:val="000000" w:themeColor="text1"/>
                <w:sz w:val="20"/>
                <w:szCs w:val="20"/>
              </w:rPr>
              <w:t>5</w:t>
            </w:r>
            <w:r w:rsidRPr="00977162">
              <w:rPr>
                <w:rFonts w:asciiTheme="minorHAnsi" w:eastAsia="华文细黑" w:hAnsiTheme="minorHAnsi" w:cs="Calibri"/>
                <w:b/>
                <w:bCs/>
                <w:color w:val="000000" w:themeColor="text1"/>
                <w:sz w:val="20"/>
                <w:szCs w:val="20"/>
              </w:rPr>
              <w:t>00.00</w:t>
            </w:r>
          </w:p>
        </w:tc>
      </w:tr>
    </w:tbl>
    <w:p w14:paraId="3A220401" w14:textId="4264F9C8" w:rsidR="001867ED" w:rsidRDefault="001867ED" w:rsidP="00957D40">
      <w:pPr>
        <w:jc w:val="center"/>
        <w:rPr>
          <w:rFonts w:ascii="Verdana" w:eastAsia="华文细黑" w:hAnsi="Verdana"/>
          <w:b/>
          <w:color w:val="000000"/>
        </w:rPr>
      </w:pPr>
    </w:p>
    <w:p w14:paraId="6B8387C8" w14:textId="4A7FF951" w:rsidR="00957D40" w:rsidRPr="007072FB" w:rsidRDefault="00957D40" w:rsidP="00957D40">
      <w:pPr>
        <w:jc w:val="center"/>
        <w:rPr>
          <w:rFonts w:ascii="Verdana" w:eastAsia="华文细黑" w:hAnsi="Verdana"/>
          <w:b/>
          <w:color w:val="000000"/>
        </w:rPr>
      </w:pPr>
      <w:r w:rsidRPr="007072FB">
        <w:rPr>
          <w:rFonts w:ascii="Verdana" w:eastAsia="华文细黑" w:hAnsi="Verdana"/>
          <w:b/>
          <w:color w:val="000000"/>
        </w:rPr>
        <w:t>表</w:t>
      </w:r>
      <w:r w:rsidRPr="007072FB">
        <w:rPr>
          <w:rFonts w:ascii="Verdana" w:eastAsia="华文细黑" w:hAnsi="Verdana"/>
          <w:b/>
          <w:color w:val="000000"/>
        </w:rPr>
        <w:t>1-</w:t>
      </w:r>
      <w:r>
        <w:rPr>
          <w:rFonts w:ascii="Verdana" w:eastAsia="华文细黑" w:hAnsi="Verdana" w:hint="eastAsia"/>
          <w:b/>
          <w:color w:val="000000"/>
        </w:rPr>
        <w:t>2</w:t>
      </w:r>
      <w:r w:rsidRPr="007072FB">
        <w:rPr>
          <w:rFonts w:ascii="Verdana" w:eastAsia="华文细黑" w:hAnsi="Verdana"/>
          <w:b/>
          <w:color w:val="000000"/>
        </w:rPr>
        <w:t>：</w:t>
      </w:r>
      <w:r w:rsidR="00402DF5" w:rsidRPr="00402DF5">
        <w:rPr>
          <w:rFonts w:ascii="Verdana" w:eastAsia="华文细黑" w:hAnsi="Verdana" w:hint="eastAsia"/>
          <w:b/>
          <w:color w:val="000000"/>
        </w:rPr>
        <w:t>本债券额度调整情况表</w:t>
      </w:r>
      <w:r w:rsidR="009A4136">
        <w:rPr>
          <w:rFonts w:ascii="Verdana" w:eastAsia="华文细黑" w:hAnsi="Verdana" w:hint="eastAsia"/>
          <w:b/>
          <w:color w:val="000000"/>
        </w:rPr>
        <w:t>（</w:t>
      </w:r>
      <w:r w:rsidR="006C683B">
        <w:rPr>
          <w:rFonts w:ascii="Verdana" w:eastAsia="华文细黑" w:hAnsi="Verdana" w:hint="eastAsia"/>
          <w:b/>
          <w:color w:val="000000"/>
        </w:rPr>
        <w:t>本项目</w:t>
      </w:r>
      <w:r w:rsidR="009A4136">
        <w:rPr>
          <w:rFonts w:ascii="Verdana" w:eastAsia="华文细黑" w:hAnsi="Verdana" w:hint="eastAsia"/>
          <w:b/>
          <w:color w:val="000000"/>
        </w:rPr>
        <w:t>调减</w:t>
      </w:r>
      <w:r w:rsidR="006C683B">
        <w:rPr>
          <w:rFonts w:ascii="Verdana" w:eastAsia="华文细黑" w:hAnsi="Verdana" w:hint="eastAsia"/>
          <w:b/>
          <w:color w:val="000000"/>
        </w:rPr>
        <w:t>至其他项目）</w:t>
      </w:r>
    </w:p>
    <w:p w14:paraId="35AB62A7" w14:textId="77777777" w:rsidR="00957D40" w:rsidRDefault="00957D40" w:rsidP="00957D40">
      <w:pPr>
        <w:jc w:val="right"/>
        <w:rPr>
          <w:rFonts w:ascii="Verdana" w:eastAsia="华文细黑" w:hAnsi="Verdana"/>
          <w:color w:val="000000"/>
          <w:sz w:val="20"/>
          <w:szCs w:val="22"/>
        </w:rPr>
      </w:pPr>
      <w:r w:rsidRPr="007072FB">
        <w:rPr>
          <w:rFonts w:ascii="Verdana" w:eastAsia="华文细黑" w:hAnsi="Verdana"/>
          <w:color w:val="000000"/>
          <w:sz w:val="20"/>
          <w:szCs w:val="22"/>
        </w:rPr>
        <w:t>单位：人民币万元</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0"/>
        <w:gridCol w:w="870"/>
        <w:gridCol w:w="878"/>
        <w:gridCol w:w="2167"/>
        <w:gridCol w:w="1304"/>
        <w:gridCol w:w="1886"/>
        <w:gridCol w:w="1305"/>
      </w:tblGrid>
      <w:tr w:rsidR="00977162" w:rsidRPr="001D2678" w14:paraId="7DB25C48" w14:textId="77777777" w:rsidTr="00C85078">
        <w:trPr>
          <w:trHeight w:val="318"/>
          <w:jc w:val="center"/>
        </w:trPr>
        <w:tc>
          <w:tcPr>
            <w:tcW w:w="1310" w:type="dxa"/>
            <w:shd w:val="clear" w:color="auto" w:fill="0070C0"/>
            <w:vAlign w:val="center"/>
          </w:tcPr>
          <w:p w14:paraId="5FB382E8" w14:textId="77777777" w:rsidR="00977162" w:rsidRPr="00DD2AEA" w:rsidRDefault="00977162" w:rsidP="00DD2AEA">
            <w:pPr>
              <w:jc w:val="center"/>
              <w:rPr>
                <w:rFonts w:asciiTheme="minorHAnsi" w:eastAsia="华文细黑" w:hAnsiTheme="minorHAnsi" w:cs="宋体"/>
                <w:b/>
                <w:bCs/>
                <w:color w:val="FFFFFF" w:themeColor="background1"/>
                <w:sz w:val="20"/>
                <w:szCs w:val="20"/>
              </w:rPr>
            </w:pPr>
            <w:r w:rsidRPr="00DD2AEA">
              <w:rPr>
                <w:rFonts w:asciiTheme="minorHAnsi" w:eastAsia="华文细黑" w:hAnsiTheme="minorHAnsi" w:cs="宋体" w:hint="eastAsia"/>
                <w:b/>
                <w:bCs/>
                <w:color w:val="FFFFFF" w:themeColor="background1"/>
                <w:sz w:val="20"/>
                <w:szCs w:val="20"/>
              </w:rPr>
              <w:t>债券名称</w:t>
            </w:r>
          </w:p>
        </w:tc>
        <w:tc>
          <w:tcPr>
            <w:tcW w:w="870" w:type="dxa"/>
            <w:shd w:val="clear" w:color="auto" w:fill="0070C0"/>
            <w:vAlign w:val="center"/>
          </w:tcPr>
          <w:p w14:paraId="04B1E456" w14:textId="77777777" w:rsidR="00977162" w:rsidRPr="00DD2AEA" w:rsidRDefault="00977162" w:rsidP="00DD2AEA">
            <w:pPr>
              <w:jc w:val="center"/>
              <w:rPr>
                <w:rFonts w:asciiTheme="minorHAnsi" w:eastAsia="华文细黑" w:hAnsiTheme="minorHAnsi" w:cs="宋体"/>
                <w:b/>
                <w:bCs/>
                <w:color w:val="FFFFFF" w:themeColor="background1"/>
                <w:sz w:val="20"/>
                <w:szCs w:val="20"/>
              </w:rPr>
            </w:pPr>
            <w:r w:rsidRPr="00DD2AEA">
              <w:rPr>
                <w:rFonts w:asciiTheme="minorHAnsi" w:eastAsia="华文细黑" w:hAnsiTheme="minorHAnsi" w:cs="宋体" w:hint="eastAsia"/>
                <w:b/>
                <w:bCs/>
                <w:color w:val="FFFFFF" w:themeColor="background1"/>
                <w:sz w:val="20"/>
                <w:szCs w:val="20"/>
              </w:rPr>
              <w:t>债券期限</w:t>
            </w:r>
          </w:p>
        </w:tc>
        <w:tc>
          <w:tcPr>
            <w:tcW w:w="878" w:type="dxa"/>
            <w:shd w:val="clear" w:color="auto" w:fill="0070C0"/>
            <w:vAlign w:val="center"/>
          </w:tcPr>
          <w:p w14:paraId="379179DB" w14:textId="77777777" w:rsidR="00977162" w:rsidRPr="00DD2AEA" w:rsidRDefault="00977162" w:rsidP="00DD2AEA">
            <w:pPr>
              <w:jc w:val="center"/>
              <w:rPr>
                <w:rFonts w:asciiTheme="minorHAnsi" w:eastAsia="华文细黑" w:hAnsiTheme="minorHAnsi" w:cs="宋体"/>
                <w:b/>
                <w:bCs/>
                <w:color w:val="FFFFFF" w:themeColor="background1"/>
                <w:sz w:val="20"/>
                <w:szCs w:val="20"/>
              </w:rPr>
            </w:pPr>
            <w:r w:rsidRPr="00DD2AEA">
              <w:rPr>
                <w:rFonts w:asciiTheme="minorHAnsi" w:eastAsia="华文细黑" w:hAnsiTheme="minorHAnsi" w:cs="宋体" w:hint="eastAsia"/>
                <w:b/>
                <w:bCs/>
                <w:color w:val="FFFFFF" w:themeColor="background1"/>
                <w:sz w:val="20"/>
                <w:szCs w:val="20"/>
              </w:rPr>
              <w:t>债券利率</w:t>
            </w:r>
          </w:p>
        </w:tc>
        <w:tc>
          <w:tcPr>
            <w:tcW w:w="2167" w:type="dxa"/>
            <w:shd w:val="clear" w:color="auto" w:fill="0070C0"/>
            <w:noWrap/>
            <w:vAlign w:val="center"/>
          </w:tcPr>
          <w:p w14:paraId="62FC8C64" w14:textId="77777777" w:rsidR="00977162" w:rsidRPr="00DD2AEA" w:rsidRDefault="00977162" w:rsidP="00DD2AEA">
            <w:pPr>
              <w:jc w:val="center"/>
              <w:rPr>
                <w:rFonts w:asciiTheme="minorHAnsi" w:eastAsia="华文细黑" w:hAnsiTheme="minorHAnsi" w:cs="宋体"/>
                <w:b/>
                <w:bCs/>
                <w:color w:val="FFFFFF" w:themeColor="background1"/>
                <w:sz w:val="20"/>
                <w:szCs w:val="20"/>
              </w:rPr>
            </w:pPr>
            <w:r w:rsidRPr="00DD2AEA">
              <w:rPr>
                <w:rFonts w:asciiTheme="minorHAnsi" w:eastAsia="华文细黑" w:hAnsiTheme="minorHAnsi" w:cs="宋体" w:hint="eastAsia"/>
                <w:b/>
                <w:bCs/>
                <w:color w:val="FFFFFF" w:themeColor="background1"/>
                <w:sz w:val="20"/>
                <w:szCs w:val="20"/>
              </w:rPr>
              <w:t>调减项目</w:t>
            </w:r>
          </w:p>
        </w:tc>
        <w:tc>
          <w:tcPr>
            <w:tcW w:w="1304" w:type="dxa"/>
            <w:shd w:val="clear" w:color="auto" w:fill="0070C0"/>
            <w:noWrap/>
            <w:vAlign w:val="center"/>
          </w:tcPr>
          <w:p w14:paraId="0DA2BD43" w14:textId="77777777" w:rsidR="00977162" w:rsidRPr="00DD2AEA" w:rsidRDefault="00977162" w:rsidP="00977162">
            <w:pPr>
              <w:jc w:val="center"/>
              <w:rPr>
                <w:rFonts w:asciiTheme="minorHAnsi" w:eastAsia="华文细黑" w:hAnsiTheme="minorHAnsi" w:cs="宋体"/>
                <w:b/>
                <w:bCs/>
                <w:color w:val="FFFFFF" w:themeColor="background1"/>
                <w:sz w:val="20"/>
                <w:szCs w:val="20"/>
              </w:rPr>
            </w:pPr>
            <w:r w:rsidRPr="00DD2AEA">
              <w:rPr>
                <w:rFonts w:asciiTheme="minorHAnsi" w:eastAsia="华文细黑" w:hAnsiTheme="minorHAnsi" w:cs="宋体" w:hint="eastAsia"/>
                <w:b/>
                <w:bCs/>
                <w:color w:val="FFFFFF" w:themeColor="background1"/>
                <w:sz w:val="20"/>
                <w:szCs w:val="20"/>
              </w:rPr>
              <w:t>调减额度</w:t>
            </w:r>
          </w:p>
        </w:tc>
        <w:tc>
          <w:tcPr>
            <w:tcW w:w="1886" w:type="dxa"/>
            <w:shd w:val="clear" w:color="auto" w:fill="0070C0"/>
            <w:vAlign w:val="center"/>
          </w:tcPr>
          <w:p w14:paraId="6C7EF749" w14:textId="022A26B6" w:rsidR="00977162" w:rsidRPr="00DD2AEA" w:rsidRDefault="00977162" w:rsidP="00977162">
            <w:pPr>
              <w:jc w:val="center"/>
              <w:rPr>
                <w:rFonts w:asciiTheme="minorHAnsi" w:eastAsia="华文细黑" w:hAnsiTheme="minorHAnsi" w:cs="宋体"/>
                <w:b/>
                <w:bCs/>
                <w:color w:val="FFFFFF" w:themeColor="background1"/>
                <w:sz w:val="20"/>
                <w:szCs w:val="20"/>
              </w:rPr>
            </w:pPr>
            <w:r>
              <w:rPr>
                <w:rFonts w:asciiTheme="minorHAnsi" w:eastAsia="华文细黑" w:hAnsiTheme="minorHAnsi" w:cs="宋体" w:hint="eastAsia"/>
                <w:b/>
                <w:bCs/>
                <w:color w:val="FFFFFF" w:themeColor="background1"/>
                <w:sz w:val="20"/>
                <w:szCs w:val="20"/>
              </w:rPr>
              <w:t>调增项目</w:t>
            </w:r>
          </w:p>
        </w:tc>
        <w:tc>
          <w:tcPr>
            <w:tcW w:w="1305" w:type="dxa"/>
            <w:shd w:val="clear" w:color="auto" w:fill="0070C0"/>
            <w:vAlign w:val="center"/>
          </w:tcPr>
          <w:p w14:paraId="41CF2276" w14:textId="760724A1" w:rsidR="00977162" w:rsidRDefault="00977162" w:rsidP="00977162">
            <w:pPr>
              <w:jc w:val="center"/>
              <w:rPr>
                <w:rFonts w:asciiTheme="minorHAnsi" w:eastAsia="华文细黑" w:hAnsiTheme="minorHAnsi" w:cs="宋体"/>
                <w:b/>
                <w:bCs/>
                <w:color w:val="FFFFFF" w:themeColor="background1"/>
                <w:sz w:val="20"/>
                <w:szCs w:val="20"/>
              </w:rPr>
            </w:pPr>
            <w:r>
              <w:rPr>
                <w:rFonts w:asciiTheme="minorHAnsi" w:eastAsia="华文细黑" w:hAnsiTheme="minorHAnsi" w:cs="宋体" w:hint="eastAsia"/>
                <w:b/>
                <w:bCs/>
                <w:color w:val="FFFFFF" w:themeColor="background1"/>
                <w:sz w:val="20"/>
                <w:szCs w:val="20"/>
              </w:rPr>
              <w:t>调增额度</w:t>
            </w:r>
          </w:p>
        </w:tc>
      </w:tr>
      <w:tr w:rsidR="007424ED" w:rsidRPr="001D2678" w14:paraId="2861209D" w14:textId="77777777" w:rsidTr="007424ED">
        <w:trPr>
          <w:trHeight w:val="318"/>
          <w:jc w:val="center"/>
        </w:trPr>
        <w:tc>
          <w:tcPr>
            <w:tcW w:w="1310" w:type="dxa"/>
            <w:vMerge w:val="restart"/>
            <w:vAlign w:val="center"/>
          </w:tcPr>
          <w:p w14:paraId="73315B1C" w14:textId="2A8C744A" w:rsidR="007424ED" w:rsidRPr="00DD2AEA" w:rsidRDefault="007424ED" w:rsidP="00DF42B3">
            <w:pPr>
              <w:jc w:val="center"/>
              <w:rPr>
                <w:rFonts w:asciiTheme="minorHAnsi" w:eastAsia="华文细黑" w:hAnsiTheme="minorHAnsi" w:cs="Calibri"/>
                <w:color w:val="000000" w:themeColor="text1"/>
                <w:sz w:val="20"/>
                <w:szCs w:val="20"/>
              </w:rPr>
            </w:pPr>
            <w:r w:rsidRPr="00DD2AEA">
              <w:rPr>
                <w:rFonts w:asciiTheme="minorHAnsi" w:eastAsia="华文细黑" w:hAnsiTheme="minorHAnsi" w:cs="Calibri"/>
                <w:color w:val="000000" w:themeColor="text1"/>
                <w:sz w:val="20"/>
                <w:szCs w:val="20"/>
              </w:rPr>
              <w:t>2024</w:t>
            </w:r>
            <w:r w:rsidRPr="00DD2AEA">
              <w:rPr>
                <w:rFonts w:asciiTheme="minorHAnsi" w:eastAsia="华文细黑" w:hAnsiTheme="minorHAnsi" w:cs="Calibri" w:hint="eastAsia"/>
                <w:color w:val="000000" w:themeColor="text1"/>
                <w:sz w:val="20"/>
                <w:szCs w:val="20"/>
              </w:rPr>
              <w:t>年海南省政府专项债券（二十五期）</w:t>
            </w:r>
          </w:p>
        </w:tc>
        <w:tc>
          <w:tcPr>
            <w:tcW w:w="870" w:type="dxa"/>
            <w:vMerge w:val="restart"/>
            <w:vAlign w:val="center"/>
          </w:tcPr>
          <w:p w14:paraId="47812487" w14:textId="310F6D5A" w:rsidR="007424ED" w:rsidRPr="00DD2AEA" w:rsidRDefault="007424ED" w:rsidP="00977162">
            <w:pPr>
              <w:jc w:val="center"/>
              <w:rPr>
                <w:rFonts w:asciiTheme="minorHAnsi" w:eastAsia="华文细黑" w:hAnsiTheme="minorHAnsi" w:cs="Calibri"/>
                <w:color w:val="000000" w:themeColor="text1"/>
                <w:sz w:val="20"/>
                <w:szCs w:val="20"/>
              </w:rPr>
            </w:pPr>
            <w:r w:rsidRPr="00DD2AEA">
              <w:rPr>
                <w:rFonts w:asciiTheme="minorHAnsi" w:eastAsia="华文细黑" w:hAnsiTheme="minorHAnsi" w:cs="Calibri"/>
                <w:color w:val="000000" w:themeColor="text1"/>
                <w:sz w:val="20"/>
                <w:szCs w:val="20"/>
              </w:rPr>
              <w:t>15</w:t>
            </w:r>
            <w:r w:rsidRPr="00DD2AEA">
              <w:rPr>
                <w:rFonts w:asciiTheme="minorHAnsi" w:eastAsia="华文细黑" w:hAnsiTheme="minorHAnsi" w:cs="Calibri"/>
                <w:color w:val="000000" w:themeColor="text1"/>
                <w:sz w:val="20"/>
                <w:szCs w:val="20"/>
              </w:rPr>
              <w:t>年</w:t>
            </w:r>
          </w:p>
        </w:tc>
        <w:tc>
          <w:tcPr>
            <w:tcW w:w="878" w:type="dxa"/>
            <w:vMerge w:val="restart"/>
            <w:vAlign w:val="center"/>
          </w:tcPr>
          <w:p w14:paraId="4063237D" w14:textId="249FA350" w:rsidR="007424ED" w:rsidRPr="00DD2AEA" w:rsidRDefault="007424ED" w:rsidP="007424ED">
            <w:pPr>
              <w:jc w:val="center"/>
              <w:rPr>
                <w:rFonts w:asciiTheme="minorHAnsi" w:eastAsia="华文细黑" w:hAnsiTheme="minorHAnsi" w:cs="Calibri"/>
                <w:color w:val="000000" w:themeColor="text1"/>
                <w:sz w:val="20"/>
                <w:szCs w:val="20"/>
              </w:rPr>
            </w:pPr>
            <w:r w:rsidRPr="00DD2AEA">
              <w:rPr>
                <w:rFonts w:asciiTheme="minorHAnsi" w:eastAsia="华文细黑" w:hAnsiTheme="minorHAnsi" w:cs="Calibri"/>
                <w:color w:val="000000" w:themeColor="text1"/>
                <w:sz w:val="20"/>
                <w:szCs w:val="20"/>
              </w:rPr>
              <w:t>2.4%</w:t>
            </w:r>
          </w:p>
        </w:tc>
        <w:tc>
          <w:tcPr>
            <w:tcW w:w="2167" w:type="dxa"/>
            <w:shd w:val="clear" w:color="auto" w:fill="auto"/>
            <w:noWrap/>
            <w:vAlign w:val="center"/>
          </w:tcPr>
          <w:p w14:paraId="36554116" w14:textId="50F54EC8" w:rsidR="007424ED" w:rsidRPr="00DD2AEA" w:rsidRDefault="007424ED" w:rsidP="00DD2AEA">
            <w:pPr>
              <w:rPr>
                <w:rFonts w:asciiTheme="minorHAnsi" w:eastAsia="华文细黑" w:hAnsiTheme="minorHAnsi" w:cs="Calibri"/>
                <w:color w:val="000000" w:themeColor="text1"/>
                <w:sz w:val="20"/>
                <w:szCs w:val="20"/>
              </w:rPr>
            </w:pPr>
            <w:r w:rsidRPr="00957D40">
              <w:rPr>
                <w:rFonts w:asciiTheme="minorHAnsi" w:eastAsia="华文细黑" w:hAnsiTheme="minorHAnsi" w:cs="Calibri" w:hint="eastAsia"/>
                <w:color w:val="000000" w:themeColor="text1"/>
                <w:sz w:val="20"/>
                <w:szCs w:val="20"/>
              </w:rPr>
              <w:t>三亚市棕榈滩污水主干管疏通清理、修复及压力管建设工程</w:t>
            </w:r>
          </w:p>
        </w:tc>
        <w:tc>
          <w:tcPr>
            <w:tcW w:w="1304" w:type="dxa"/>
            <w:shd w:val="clear" w:color="auto" w:fill="auto"/>
            <w:noWrap/>
            <w:vAlign w:val="center"/>
          </w:tcPr>
          <w:p w14:paraId="7FAEB830" w14:textId="77777777" w:rsidR="007424ED" w:rsidRPr="00DD2AEA" w:rsidRDefault="007424ED" w:rsidP="00977162">
            <w:pPr>
              <w:jc w:val="right"/>
              <w:rPr>
                <w:rFonts w:asciiTheme="minorHAnsi" w:eastAsia="华文细黑" w:hAnsiTheme="minorHAnsi"/>
                <w:color w:val="000000" w:themeColor="text1"/>
                <w:sz w:val="20"/>
                <w:szCs w:val="20"/>
              </w:rPr>
            </w:pPr>
            <w:r w:rsidRPr="00DD2AEA">
              <w:rPr>
                <w:rFonts w:asciiTheme="minorHAnsi" w:eastAsia="华文细黑" w:hAnsiTheme="minorHAnsi"/>
                <w:color w:val="000000" w:themeColor="text1"/>
                <w:sz w:val="20"/>
                <w:szCs w:val="20"/>
              </w:rPr>
              <w:t>500.00</w:t>
            </w:r>
          </w:p>
        </w:tc>
        <w:tc>
          <w:tcPr>
            <w:tcW w:w="1886" w:type="dxa"/>
            <w:vAlign w:val="center"/>
          </w:tcPr>
          <w:p w14:paraId="30D6FFF5" w14:textId="48A800BF" w:rsidR="007424ED" w:rsidRPr="00DD2AEA" w:rsidRDefault="007424ED" w:rsidP="004B465C">
            <w:pPr>
              <w:jc w:val="both"/>
              <w:rPr>
                <w:rFonts w:asciiTheme="minorHAnsi" w:eastAsia="华文细黑" w:hAnsiTheme="minorHAnsi"/>
                <w:color w:val="000000" w:themeColor="text1"/>
                <w:sz w:val="20"/>
                <w:szCs w:val="20"/>
              </w:rPr>
            </w:pPr>
            <w:r w:rsidRPr="00977162">
              <w:rPr>
                <w:rFonts w:asciiTheme="minorHAnsi" w:eastAsia="华文细黑" w:hAnsiTheme="minorHAnsi" w:hint="eastAsia"/>
                <w:color w:val="000000" w:themeColor="text1"/>
                <w:sz w:val="20"/>
                <w:szCs w:val="20"/>
              </w:rPr>
              <w:t>吉阳区</w:t>
            </w:r>
            <w:proofErr w:type="gramStart"/>
            <w:r w:rsidRPr="00977162">
              <w:rPr>
                <w:rFonts w:asciiTheme="minorHAnsi" w:eastAsia="华文细黑" w:hAnsiTheme="minorHAnsi" w:hint="eastAsia"/>
                <w:color w:val="000000" w:themeColor="text1"/>
                <w:sz w:val="20"/>
                <w:szCs w:val="20"/>
              </w:rPr>
              <w:t>商品街港门</w:t>
            </w:r>
            <w:proofErr w:type="gramEnd"/>
            <w:r w:rsidRPr="00977162">
              <w:rPr>
                <w:rFonts w:asciiTheme="minorHAnsi" w:eastAsia="华文细黑" w:hAnsiTheme="minorHAnsi" w:hint="eastAsia"/>
                <w:color w:val="000000" w:themeColor="text1"/>
                <w:sz w:val="20"/>
                <w:szCs w:val="20"/>
              </w:rPr>
              <w:t>村片区弱电光缆下地整治项目</w:t>
            </w:r>
          </w:p>
        </w:tc>
        <w:tc>
          <w:tcPr>
            <w:tcW w:w="1305" w:type="dxa"/>
            <w:vAlign w:val="center"/>
          </w:tcPr>
          <w:p w14:paraId="734AAA00" w14:textId="25FFD27F" w:rsidR="007424ED" w:rsidRPr="00DD2AEA" w:rsidRDefault="007424ED" w:rsidP="00977162">
            <w:pPr>
              <w:jc w:val="right"/>
              <w:rPr>
                <w:rFonts w:asciiTheme="minorHAnsi" w:eastAsia="华文细黑" w:hAnsiTheme="minorHAnsi"/>
                <w:color w:val="000000" w:themeColor="text1"/>
                <w:sz w:val="20"/>
                <w:szCs w:val="20"/>
              </w:rPr>
            </w:pPr>
            <w:r w:rsidRPr="00977162">
              <w:rPr>
                <w:rFonts w:asciiTheme="minorHAnsi" w:eastAsia="华文细黑" w:hAnsiTheme="minorHAnsi"/>
                <w:color w:val="000000" w:themeColor="text1"/>
                <w:sz w:val="20"/>
                <w:szCs w:val="20"/>
              </w:rPr>
              <w:t>500.00</w:t>
            </w:r>
          </w:p>
        </w:tc>
      </w:tr>
      <w:tr w:rsidR="007424ED" w:rsidRPr="001D2678" w14:paraId="56E064B1" w14:textId="77777777" w:rsidTr="007424ED">
        <w:trPr>
          <w:trHeight w:val="318"/>
          <w:jc w:val="center"/>
        </w:trPr>
        <w:tc>
          <w:tcPr>
            <w:tcW w:w="1310" w:type="dxa"/>
            <w:vMerge/>
            <w:vAlign w:val="center"/>
          </w:tcPr>
          <w:p w14:paraId="049F1394" w14:textId="1CD3AA69" w:rsidR="007424ED" w:rsidRPr="00DD2AEA" w:rsidRDefault="007424ED" w:rsidP="00957D40">
            <w:pPr>
              <w:jc w:val="center"/>
              <w:rPr>
                <w:rFonts w:asciiTheme="minorHAnsi" w:eastAsia="华文细黑" w:hAnsiTheme="minorHAnsi" w:cs="Calibri"/>
                <w:color w:val="000000" w:themeColor="text1"/>
                <w:sz w:val="20"/>
                <w:szCs w:val="20"/>
              </w:rPr>
            </w:pPr>
          </w:p>
        </w:tc>
        <w:tc>
          <w:tcPr>
            <w:tcW w:w="870" w:type="dxa"/>
            <w:vMerge/>
            <w:vAlign w:val="center"/>
          </w:tcPr>
          <w:p w14:paraId="65BECD86" w14:textId="12281BA2" w:rsidR="007424ED" w:rsidRPr="00DD2AEA" w:rsidRDefault="007424ED" w:rsidP="00957D40">
            <w:pPr>
              <w:jc w:val="center"/>
              <w:rPr>
                <w:rFonts w:asciiTheme="minorHAnsi" w:eastAsia="华文细黑" w:hAnsiTheme="minorHAnsi" w:cs="Calibri"/>
                <w:color w:val="000000" w:themeColor="text1"/>
                <w:sz w:val="20"/>
                <w:szCs w:val="20"/>
              </w:rPr>
            </w:pPr>
          </w:p>
        </w:tc>
        <w:tc>
          <w:tcPr>
            <w:tcW w:w="878" w:type="dxa"/>
            <w:vMerge/>
            <w:vAlign w:val="center"/>
          </w:tcPr>
          <w:p w14:paraId="63DF6B13" w14:textId="6E856EDC" w:rsidR="007424ED" w:rsidRPr="00DD2AEA" w:rsidRDefault="007424ED" w:rsidP="00957D40">
            <w:pPr>
              <w:jc w:val="center"/>
              <w:rPr>
                <w:rFonts w:asciiTheme="minorHAnsi" w:eastAsia="华文细黑" w:hAnsiTheme="minorHAnsi" w:cs="Calibri"/>
                <w:color w:val="000000" w:themeColor="text1"/>
                <w:sz w:val="20"/>
                <w:szCs w:val="20"/>
              </w:rPr>
            </w:pPr>
          </w:p>
        </w:tc>
        <w:tc>
          <w:tcPr>
            <w:tcW w:w="2167" w:type="dxa"/>
            <w:vMerge w:val="restart"/>
            <w:shd w:val="clear" w:color="auto" w:fill="auto"/>
            <w:noWrap/>
            <w:vAlign w:val="center"/>
          </w:tcPr>
          <w:p w14:paraId="0D1BB4E3" w14:textId="2BB817AF" w:rsidR="007424ED" w:rsidRPr="00DD2AEA" w:rsidRDefault="007424ED" w:rsidP="00957D40">
            <w:pPr>
              <w:rPr>
                <w:rFonts w:asciiTheme="minorHAnsi" w:eastAsia="华文细黑" w:hAnsiTheme="minorHAnsi" w:cs="Calibri"/>
                <w:color w:val="000000" w:themeColor="text1"/>
                <w:sz w:val="20"/>
                <w:szCs w:val="20"/>
              </w:rPr>
            </w:pPr>
            <w:r w:rsidRPr="00957D40">
              <w:rPr>
                <w:rFonts w:asciiTheme="minorHAnsi" w:eastAsia="华文细黑" w:hAnsiTheme="minorHAnsi" w:cs="Calibri" w:hint="eastAsia"/>
                <w:color w:val="000000" w:themeColor="text1"/>
                <w:sz w:val="20"/>
                <w:szCs w:val="20"/>
              </w:rPr>
              <w:t>三亚市抱坡溪东片区排水管网提质增效工程</w:t>
            </w:r>
          </w:p>
        </w:tc>
        <w:tc>
          <w:tcPr>
            <w:tcW w:w="1304" w:type="dxa"/>
            <w:vMerge w:val="restart"/>
            <w:shd w:val="clear" w:color="auto" w:fill="auto"/>
            <w:noWrap/>
            <w:vAlign w:val="center"/>
          </w:tcPr>
          <w:p w14:paraId="7AF71B0A" w14:textId="71928143" w:rsidR="007424ED" w:rsidRPr="00DD2AEA" w:rsidRDefault="007424ED" w:rsidP="00977162">
            <w:pPr>
              <w:jc w:val="right"/>
              <w:rPr>
                <w:rFonts w:asciiTheme="minorHAnsi" w:eastAsia="华文细黑" w:hAnsiTheme="minorHAnsi"/>
                <w:color w:val="000000" w:themeColor="text1"/>
                <w:sz w:val="20"/>
                <w:szCs w:val="20"/>
              </w:rPr>
            </w:pPr>
            <w:r w:rsidRPr="00977162">
              <w:rPr>
                <w:rFonts w:asciiTheme="minorHAnsi" w:eastAsia="华文细黑" w:hAnsiTheme="minorHAnsi"/>
                <w:color w:val="000000" w:themeColor="text1"/>
                <w:sz w:val="20"/>
                <w:szCs w:val="20"/>
              </w:rPr>
              <w:t>1,000.00</w:t>
            </w:r>
          </w:p>
        </w:tc>
        <w:tc>
          <w:tcPr>
            <w:tcW w:w="1886" w:type="dxa"/>
            <w:vAlign w:val="center"/>
          </w:tcPr>
          <w:p w14:paraId="2C774D71" w14:textId="3B397ADC" w:rsidR="007424ED" w:rsidRPr="00DD2AEA" w:rsidRDefault="007424ED" w:rsidP="004B465C">
            <w:pPr>
              <w:jc w:val="both"/>
              <w:rPr>
                <w:rFonts w:asciiTheme="minorHAnsi" w:eastAsia="华文细黑" w:hAnsiTheme="minorHAnsi"/>
                <w:color w:val="000000" w:themeColor="text1"/>
                <w:sz w:val="20"/>
                <w:szCs w:val="20"/>
              </w:rPr>
            </w:pPr>
            <w:r w:rsidRPr="00977162">
              <w:rPr>
                <w:rFonts w:asciiTheme="minorHAnsi" w:eastAsia="华文细黑" w:hAnsiTheme="minorHAnsi" w:hint="eastAsia"/>
                <w:color w:val="000000" w:themeColor="text1"/>
                <w:sz w:val="20"/>
                <w:szCs w:val="20"/>
              </w:rPr>
              <w:t>海南三亚国际</w:t>
            </w:r>
            <w:proofErr w:type="gramStart"/>
            <w:r w:rsidRPr="00977162">
              <w:rPr>
                <w:rFonts w:asciiTheme="minorHAnsi" w:eastAsia="华文细黑" w:hAnsiTheme="minorHAnsi" w:hint="eastAsia"/>
                <w:color w:val="000000" w:themeColor="text1"/>
                <w:sz w:val="20"/>
                <w:szCs w:val="20"/>
              </w:rPr>
              <w:t>邮轮港</w:t>
            </w:r>
            <w:proofErr w:type="gramEnd"/>
            <w:r w:rsidRPr="00977162">
              <w:rPr>
                <w:rFonts w:asciiTheme="minorHAnsi" w:eastAsia="华文细黑" w:hAnsiTheme="minorHAnsi" w:hint="eastAsia"/>
                <w:color w:val="000000" w:themeColor="text1"/>
                <w:sz w:val="20"/>
                <w:szCs w:val="20"/>
              </w:rPr>
              <w:t>一期项目</w:t>
            </w:r>
          </w:p>
        </w:tc>
        <w:tc>
          <w:tcPr>
            <w:tcW w:w="1305" w:type="dxa"/>
            <w:vAlign w:val="center"/>
          </w:tcPr>
          <w:p w14:paraId="56D2835D" w14:textId="2938769D" w:rsidR="007424ED" w:rsidRPr="00DD2AEA" w:rsidRDefault="007424ED" w:rsidP="00977162">
            <w:pPr>
              <w:jc w:val="right"/>
              <w:rPr>
                <w:rFonts w:asciiTheme="minorHAnsi" w:eastAsia="华文细黑" w:hAnsiTheme="minorHAnsi"/>
                <w:color w:val="000000" w:themeColor="text1"/>
                <w:sz w:val="20"/>
                <w:szCs w:val="20"/>
              </w:rPr>
            </w:pPr>
            <w:r w:rsidRPr="00977162">
              <w:rPr>
                <w:rFonts w:asciiTheme="minorHAnsi" w:eastAsia="华文细黑" w:hAnsiTheme="minorHAnsi"/>
                <w:color w:val="000000" w:themeColor="text1"/>
                <w:sz w:val="20"/>
                <w:szCs w:val="20"/>
              </w:rPr>
              <w:t>500.00</w:t>
            </w:r>
          </w:p>
        </w:tc>
      </w:tr>
      <w:tr w:rsidR="007424ED" w:rsidRPr="001D2678" w14:paraId="61B48C55" w14:textId="77777777" w:rsidTr="007424ED">
        <w:trPr>
          <w:trHeight w:val="318"/>
          <w:jc w:val="center"/>
        </w:trPr>
        <w:tc>
          <w:tcPr>
            <w:tcW w:w="1310" w:type="dxa"/>
            <w:vMerge/>
            <w:vAlign w:val="center"/>
          </w:tcPr>
          <w:p w14:paraId="26A76238" w14:textId="77777777" w:rsidR="007424ED" w:rsidRPr="00DD2AEA" w:rsidRDefault="007424ED" w:rsidP="00957D40">
            <w:pPr>
              <w:jc w:val="center"/>
              <w:rPr>
                <w:rFonts w:asciiTheme="minorHAnsi" w:eastAsia="华文细黑" w:hAnsiTheme="minorHAnsi" w:cs="Calibri"/>
                <w:color w:val="000000" w:themeColor="text1"/>
                <w:sz w:val="20"/>
                <w:szCs w:val="20"/>
              </w:rPr>
            </w:pPr>
          </w:p>
        </w:tc>
        <w:tc>
          <w:tcPr>
            <w:tcW w:w="870" w:type="dxa"/>
            <w:vMerge/>
            <w:vAlign w:val="center"/>
          </w:tcPr>
          <w:p w14:paraId="7E6FC466" w14:textId="77777777" w:rsidR="007424ED" w:rsidRPr="00DD2AEA" w:rsidRDefault="007424ED" w:rsidP="00957D40">
            <w:pPr>
              <w:jc w:val="center"/>
              <w:rPr>
                <w:rFonts w:asciiTheme="minorHAnsi" w:eastAsia="华文细黑" w:hAnsiTheme="minorHAnsi" w:cs="Calibri"/>
                <w:color w:val="000000" w:themeColor="text1"/>
                <w:sz w:val="20"/>
                <w:szCs w:val="20"/>
              </w:rPr>
            </w:pPr>
          </w:p>
        </w:tc>
        <w:tc>
          <w:tcPr>
            <w:tcW w:w="878" w:type="dxa"/>
            <w:vMerge/>
            <w:vAlign w:val="center"/>
          </w:tcPr>
          <w:p w14:paraId="20CE76E4" w14:textId="77777777" w:rsidR="007424ED" w:rsidRPr="00DD2AEA" w:rsidRDefault="007424ED" w:rsidP="00957D40">
            <w:pPr>
              <w:jc w:val="center"/>
              <w:rPr>
                <w:rFonts w:asciiTheme="minorHAnsi" w:eastAsia="华文细黑" w:hAnsiTheme="minorHAnsi" w:cs="Calibri"/>
                <w:color w:val="000000" w:themeColor="text1"/>
                <w:sz w:val="20"/>
                <w:szCs w:val="20"/>
              </w:rPr>
            </w:pPr>
          </w:p>
        </w:tc>
        <w:tc>
          <w:tcPr>
            <w:tcW w:w="2167" w:type="dxa"/>
            <w:vMerge/>
            <w:shd w:val="clear" w:color="auto" w:fill="auto"/>
            <w:noWrap/>
            <w:vAlign w:val="center"/>
          </w:tcPr>
          <w:p w14:paraId="2BB3C9CB" w14:textId="77777777" w:rsidR="007424ED" w:rsidRPr="00957D40" w:rsidRDefault="007424ED" w:rsidP="00957D40">
            <w:pPr>
              <w:rPr>
                <w:rFonts w:asciiTheme="minorHAnsi" w:eastAsia="华文细黑" w:hAnsiTheme="minorHAnsi" w:cs="Calibri"/>
                <w:color w:val="000000" w:themeColor="text1"/>
                <w:sz w:val="20"/>
                <w:szCs w:val="20"/>
              </w:rPr>
            </w:pPr>
          </w:p>
        </w:tc>
        <w:tc>
          <w:tcPr>
            <w:tcW w:w="1304" w:type="dxa"/>
            <w:vMerge/>
            <w:shd w:val="clear" w:color="auto" w:fill="auto"/>
            <w:noWrap/>
            <w:vAlign w:val="center"/>
          </w:tcPr>
          <w:p w14:paraId="2B5136BB" w14:textId="206223A7" w:rsidR="007424ED" w:rsidRPr="00DD2AEA" w:rsidRDefault="007424ED" w:rsidP="00977162">
            <w:pPr>
              <w:jc w:val="right"/>
              <w:rPr>
                <w:rFonts w:asciiTheme="minorHAnsi" w:eastAsia="华文细黑" w:hAnsiTheme="minorHAnsi"/>
                <w:color w:val="000000" w:themeColor="text1"/>
                <w:sz w:val="20"/>
                <w:szCs w:val="20"/>
              </w:rPr>
            </w:pPr>
          </w:p>
        </w:tc>
        <w:tc>
          <w:tcPr>
            <w:tcW w:w="1886" w:type="dxa"/>
            <w:vAlign w:val="center"/>
          </w:tcPr>
          <w:p w14:paraId="65AD706F" w14:textId="5055F69E" w:rsidR="007424ED" w:rsidRPr="00977162" w:rsidRDefault="007424ED" w:rsidP="00977162">
            <w:pPr>
              <w:jc w:val="both"/>
              <w:rPr>
                <w:rFonts w:asciiTheme="minorHAnsi" w:eastAsia="华文细黑" w:hAnsiTheme="minorHAnsi"/>
                <w:color w:val="000000" w:themeColor="text1"/>
                <w:sz w:val="20"/>
                <w:szCs w:val="20"/>
              </w:rPr>
            </w:pPr>
            <w:r w:rsidRPr="00C97B84">
              <w:rPr>
                <w:rFonts w:asciiTheme="minorHAnsi" w:eastAsia="华文细黑" w:hAnsiTheme="minorHAnsi" w:hint="eastAsia"/>
                <w:color w:val="000000" w:themeColor="text1"/>
                <w:sz w:val="20"/>
                <w:szCs w:val="20"/>
              </w:rPr>
              <w:t>三亚市鹿回头及</w:t>
            </w:r>
            <w:proofErr w:type="gramStart"/>
            <w:r w:rsidRPr="00C97B84">
              <w:rPr>
                <w:rFonts w:asciiTheme="minorHAnsi" w:eastAsia="华文细黑" w:hAnsiTheme="minorHAnsi" w:hint="eastAsia"/>
                <w:color w:val="000000" w:themeColor="text1"/>
                <w:sz w:val="20"/>
                <w:szCs w:val="20"/>
              </w:rPr>
              <w:t>红沙南片区</w:t>
            </w:r>
            <w:proofErr w:type="gramEnd"/>
            <w:r w:rsidRPr="00C97B84">
              <w:rPr>
                <w:rFonts w:asciiTheme="minorHAnsi" w:eastAsia="华文细黑" w:hAnsiTheme="minorHAnsi" w:hint="eastAsia"/>
                <w:color w:val="000000" w:themeColor="text1"/>
                <w:sz w:val="20"/>
                <w:szCs w:val="20"/>
              </w:rPr>
              <w:t>排水管网提质增效工程</w:t>
            </w:r>
          </w:p>
        </w:tc>
        <w:tc>
          <w:tcPr>
            <w:tcW w:w="1305" w:type="dxa"/>
            <w:vAlign w:val="center"/>
          </w:tcPr>
          <w:p w14:paraId="49BF3D9F" w14:textId="0E5509F6" w:rsidR="007424ED" w:rsidRPr="00977162" w:rsidRDefault="007424ED" w:rsidP="00977162">
            <w:pPr>
              <w:jc w:val="right"/>
              <w:rPr>
                <w:rFonts w:asciiTheme="minorHAnsi" w:eastAsia="华文细黑" w:hAnsiTheme="minorHAnsi"/>
                <w:color w:val="000000" w:themeColor="text1"/>
                <w:sz w:val="20"/>
                <w:szCs w:val="20"/>
              </w:rPr>
            </w:pPr>
            <w:r w:rsidRPr="00977162">
              <w:rPr>
                <w:rFonts w:asciiTheme="minorHAnsi" w:eastAsia="华文细黑" w:hAnsiTheme="minorHAnsi"/>
                <w:color w:val="000000" w:themeColor="text1"/>
                <w:sz w:val="20"/>
                <w:szCs w:val="20"/>
              </w:rPr>
              <w:t>500.00</w:t>
            </w:r>
          </w:p>
        </w:tc>
      </w:tr>
      <w:tr w:rsidR="00977162" w:rsidRPr="001D2678" w14:paraId="4A68E1EF" w14:textId="77777777" w:rsidTr="00C85078">
        <w:trPr>
          <w:trHeight w:val="318"/>
          <w:jc w:val="center"/>
        </w:trPr>
        <w:tc>
          <w:tcPr>
            <w:tcW w:w="5225" w:type="dxa"/>
            <w:gridSpan w:val="4"/>
            <w:vAlign w:val="center"/>
          </w:tcPr>
          <w:p w14:paraId="001CE847" w14:textId="1FDAE714" w:rsidR="00977162" w:rsidRPr="004B465C" w:rsidRDefault="00977162" w:rsidP="004B465C">
            <w:pPr>
              <w:jc w:val="center"/>
              <w:rPr>
                <w:rFonts w:asciiTheme="minorHAnsi" w:eastAsia="华文细黑" w:hAnsiTheme="minorHAnsi" w:cs="Calibri"/>
                <w:b/>
                <w:bCs/>
                <w:color w:val="000000" w:themeColor="text1"/>
                <w:sz w:val="20"/>
                <w:szCs w:val="20"/>
              </w:rPr>
            </w:pPr>
            <w:r w:rsidRPr="004B465C">
              <w:rPr>
                <w:rFonts w:asciiTheme="minorHAnsi" w:eastAsia="华文细黑" w:hAnsiTheme="minorHAnsi" w:cs="Calibri" w:hint="eastAsia"/>
                <w:b/>
                <w:bCs/>
                <w:color w:val="000000" w:themeColor="text1"/>
                <w:sz w:val="20"/>
                <w:szCs w:val="20"/>
              </w:rPr>
              <w:t>合计</w:t>
            </w:r>
          </w:p>
        </w:tc>
        <w:tc>
          <w:tcPr>
            <w:tcW w:w="1304" w:type="dxa"/>
            <w:shd w:val="clear" w:color="auto" w:fill="auto"/>
            <w:noWrap/>
            <w:vAlign w:val="center"/>
          </w:tcPr>
          <w:p w14:paraId="700795E6" w14:textId="29F68B38" w:rsidR="00977162" w:rsidRPr="004B465C" w:rsidRDefault="00977162" w:rsidP="00977162">
            <w:pPr>
              <w:jc w:val="right"/>
              <w:rPr>
                <w:rFonts w:asciiTheme="minorHAnsi" w:eastAsia="华文细黑" w:hAnsiTheme="minorHAnsi"/>
                <w:b/>
                <w:bCs/>
                <w:color w:val="000000" w:themeColor="text1"/>
                <w:sz w:val="20"/>
                <w:szCs w:val="20"/>
              </w:rPr>
            </w:pPr>
            <w:r w:rsidRPr="00977162">
              <w:rPr>
                <w:rFonts w:asciiTheme="minorHAnsi" w:eastAsia="华文细黑" w:hAnsiTheme="minorHAnsi" w:cs="Calibri"/>
                <w:b/>
                <w:bCs/>
                <w:color w:val="000000" w:themeColor="text1"/>
                <w:sz w:val="20"/>
                <w:szCs w:val="20"/>
              </w:rPr>
              <w:t>1,500.00</w:t>
            </w:r>
          </w:p>
        </w:tc>
        <w:tc>
          <w:tcPr>
            <w:tcW w:w="1886" w:type="dxa"/>
            <w:vAlign w:val="center"/>
          </w:tcPr>
          <w:p w14:paraId="6E0E9BE7" w14:textId="77777777" w:rsidR="00977162" w:rsidRPr="004B465C" w:rsidRDefault="00977162" w:rsidP="00977162">
            <w:pPr>
              <w:jc w:val="right"/>
              <w:rPr>
                <w:rFonts w:asciiTheme="minorHAnsi" w:eastAsia="华文细黑" w:hAnsiTheme="minorHAnsi"/>
                <w:b/>
                <w:bCs/>
                <w:color w:val="000000" w:themeColor="text1"/>
                <w:sz w:val="20"/>
                <w:szCs w:val="20"/>
              </w:rPr>
            </w:pPr>
          </w:p>
        </w:tc>
        <w:tc>
          <w:tcPr>
            <w:tcW w:w="1305" w:type="dxa"/>
            <w:vAlign w:val="center"/>
          </w:tcPr>
          <w:p w14:paraId="417FE52E" w14:textId="3FDC9E51" w:rsidR="00977162" w:rsidRPr="004B465C" w:rsidRDefault="00977162" w:rsidP="00977162">
            <w:pPr>
              <w:jc w:val="right"/>
              <w:rPr>
                <w:rFonts w:asciiTheme="minorHAnsi" w:eastAsia="华文细黑" w:hAnsiTheme="minorHAnsi"/>
                <w:b/>
                <w:bCs/>
                <w:color w:val="000000" w:themeColor="text1"/>
                <w:sz w:val="20"/>
                <w:szCs w:val="20"/>
              </w:rPr>
            </w:pPr>
            <w:r w:rsidRPr="00977162">
              <w:rPr>
                <w:rFonts w:asciiTheme="minorHAnsi" w:eastAsia="华文细黑" w:hAnsiTheme="minorHAnsi" w:cs="Calibri"/>
                <w:b/>
                <w:bCs/>
                <w:color w:val="000000" w:themeColor="text1"/>
                <w:sz w:val="20"/>
                <w:szCs w:val="20"/>
              </w:rPr>
              <w:t>1,</w:t>
            </w:r>
            <w:r>
              <w:rPr>
                <w:rFonts w:asciiTheme="minorHAnsi" w:eastAsia="华文细黑" w:hAnsiTheme="minorHAnsi" w:cs="Calibri" w:hint="eastAsia"/>
                <w:b/>
                <w:bCs/>
                <w:color w:val="000000" w:themeColor="text1"/>
                <w:sz w:val="20"/>
                <w:szCs w:val="20"/>
              </w:rPr>
              <w:t>5</w:t>
            </w:r>
            <w:r w:rsidRPr="00977162">
              <w:rPr>
                <w:rFonts w:asciiTheme="minorHAnsi" w:eastAsia="华文细黑" w:hAnsiTheme="minorHAnsi" w:cs="Calibri"/>
                <w:b/>
                <w:bCs/>
                <w:color w:val="000000" w:themeColor="text1"/>
                <w:sz w:val="20"/>
                <w:szCs w:val="20"/>
              </w:rPr>
              <w:t>00.00</w:t>
            </w:r>
          </w:p>
        </w:tc>
      </w:tr>
    </w:tbl>
    <w:p w14:paraId="0DCDBEA4" w14:textId="2AAE9BA5" w:rsidR="00067586" w:rsidRPr="007072FB" w:rsidRDefault="00C40773" w:rsidP="003C3C26">
      <w:pPr>
        <w:widowControl w:val="0"/>
        <w:snapToGrid w:val="0"/>
        <w:spacing w:line="520" w:lineRule="exact"/>
        <w:ind w:firstLineChars="200" w:firstLine="480"/>
        <w:jc w:val="both"/>
        <w:rPr>
          <w:rFonts w:ascii="Verdana" w:eastAsia="华文细黑" w:hAnsi="Verdana" w:cs="仿宋"/>
        </w:rPr>
      </w:pPr>
      <w:bookmarkStart w:id="46" w:name="_Hlk150179732"/>
      <w:r w:rsidRPr="007072FB">
        <w:rPr>
          <w:rFonts w:ascii="Verdana" w:eastAsia="华文细黑" w:hAnsi="Verdana" w:cs="仿宋"/>
        </w:rPr>
        <w:t>（二）</w:t>
      </w:r>
      <w:r w:rsidR="00067586" w:rsidRPr="007072FB">
        <w:rPr>
          <w:rFonts w:ascii="Verdana" w:eastAsia="华文细黑" w:hAnsi="Verdana" w:cs="仿宋"/>
        </w:rPr>
        <w:t>项目</w:t>
      </w:r>
      <w:r w:rsidRPr="007072FB">
        <w:rPr>
          <w:rFonts w:ascii="Verdana" w:eastAsia="华文细黑" w:hAnsi="Verdana" w:cs="仿宋"/>
        </w:rPr>
        <w:t>批复</w:t>
      </w:r>
      <w:r w:rsidR="00067586" w:rsidRPr="007072FB">
        <w:rPr>
          <w:rFonts w:ascii="Verdana" w:eastAsia="华文细黑" w:hAnsi="Verdana" w:cs="仿宋"/>
        </w:rPr>
        <w:t>情况：</w:t>
      </w:r>
    </w:p>
    <w:p w14:paraId="1BC89AD5" w14:textId="77777777" w:rsidR="005A354F" w:rsidRPr="005A354F" w:rsidRDefault="005A354F" w:rsidP="005A354F">
      <w:pPr>
        <w:widowControl w:val="0"/>
        <w:snapToGrid w:val="0"/>
        <w:spacing w:line="520" w:lineRule="exact"/>
        <w:ind w:firstLineChars="200" w:firstLine="480"/>
        <w:jc w:val="both"/>
        <w:rPr>
          <w:rFonts w:ascii="Verdana" w:eastAsia="华文细黑" w:hAnsi="Verdana" w:cs="仿宋"/>
        </w:rPr>
      </w:pPr>
      <w:r w:rsidRPr="005A354F">
        <w:rPr>
          <w:rFonts w:ascii="Verdana" w:eastAsia="华文细黑" w:hAnsi="Verdana" w:cs="仿宋"/>
        </w:rPr>
        <w:t>2022</w:t>
      </w:r>
      <w:r w:rsidRPr="005A354F">
        <w:rPr>
          <w:rFonts w:ascii="Verdana" w:eastAsia="华文细黑" w:hAnsi="Verdana" w:cs="仿宋" w:hint="eastAsia"/>
        </w:rPr>
        <w:t>年</w:t>
      </w:r>
      <w:r w:rsidRPr="005A354F">
        <w:rPr>
          <w:rFonts w:ascii="Verdana" w:eastAsia="华文细黑" w:hAnsi="Verdana" w:cs="仿宋"/>
        </w:rPr>
        <w:t>2</w:t>
      </w:r>
      <w:r w:rsidRPr="005A354F">
        <w:rPr>
          <w:rFonts w:ascii="Verdana" w:eastAsia="华文细黑" w:hAnsi="Verdana" w:cs="仿宋" w:hint="eastAsia"/>
        </w:rPr>
        <w:t>月</w:t>
      </w:r>
      <w:r w:rsidRPr="005A354F">
        <w:rPr>
          <w:rFonts w:ascii="Verdana" w:eastAsia="华文细黑" w:hAnsi="Verdana" w:cs="仿宋"/>
        </w:rPr>
        <w:t>17</w:t>
      </w:r>
      <w:r w:rsidRPr="005A354F">
        <w:rPr>
          <w:rFonts w:ascii="Verdana" w:eastAsia="华文细黑" w:hAnsi="Verdana" w:cs="仿宋" w:hint="eastAsia"/>
        </w:rPr>
        <w:t>日，三亚市发展和改革委员会</w:t>
      </w:r>
      <w:proofErr w:type="gramStart"/>
      <w:r w:rsidRPr="005A354F">
        <w:rPr>
          <w:rFonts w:ascii="Verdana" w:eastAsia="华文细黑" w:hAnsi="Verdana" w:cs="仿宋" w:hint="eastAsia"/>
        </w:rPr>
        <w:t>作出</w:t>
      </w:r>
      <w:proofErr w:type="gramEnd"/>
      <w:r w:rsidRPr="005A354F">
        <w:rPr>
          <w:rFonts w:ascii="Verdana" w:eastAsia="华文细黑" w:hAnsi="Verdana" w:cs="仿宋" w:hint="eastAsia"/>
        </w:rPr>
        <w:t>《关于三亚市鹿回头及红沙南片区排水管网提质增效工程项目立项的批复》（三发改投〔</w:t>
      </w:r>
      <w:r w:rsidRPr="005A354F">
        <w:rPr>
          <w:rFonts w:ascii="Verdana" w:eastAsia="华文细黑" w:hAnsi="Verdana" w:cs="仿宋"/>
        </w:rPr>
        <w:t>2022</w:t>
      </w:r>
      <w:r w:rsidRPr="005A354F">
        <w:rPr>
          <w:rFonts w:ascii="Verdana" w:eastAsia="华文细黑" w:hAnsi="Verdana" w:cs="仿宋" w:hint="eastAsia"/>
        </w:rPr>
        <w:t>〕</w:t>
      </w:r>
      <w:r w:rsidRPr="005A354F">
        <w:rPr>
          <w:rFonts w:ascii="Verdana" w:eastAsia="华文细黑" w:hAnsi="Verdana" w:cs="仿宋"/>
        </w:rPr>
        <w:t>60</w:t>
      </w:r>
      <w:r w:rsidRPr="005A354F">
        <w:rPr>
          <w:rFonts w:ascii="Verdana" w:eastAsia="华文细黑" w:hAnsi="Verdana" w:cs="仿宋" w:hint="eastAsia"/>
        </w:rPr>
        <w:t>号）；</w:t>
      </w:r>
    </w:p>
    <w:p w14:paraId="6A04337D" w14:textId="77777777" w:rsidR="005A354F" w:rsidRPr="005A354F" w:rsidRDefault="005A354F" w:rsidP="005A354F">
      <w:pPr>
        <w:widowControl w:val="0"/>
        <w:snapToGrid w:val="0"/>
        <w:spacing w:line="520" w:lineRule="exact"/>
        <w:ind w:firstLineChars="200" w:firstLine="480"/>
        <w:jc w:val="both"/>
        <w:rPr>
          <w:rFonts w:ascii="Verdana" w:eastAsia="华文细黑" w:hAnsi="Verdana" w:cs="仿宋"/>
        </w:rPr>
      </w:pPr>
      <w:r w:rsidRPr="005A354F">
        <w:rPr>
          <w:rFonts w:ascii="Verdana" w:eastAsia="华文细黑" w:hAnsi="Verdana" w:cs="仿宋"/>
        </w:rPr>
        <w:lastRenderedPageBreak/>
        <w:t>2022</w:t>
      </w:r>
      <w:r w:rsidRPr="005A354F">
        <w:rPr>
          <w:rFonts w:ascii="Verdana" w:eastAsia="华文细黑" w:hAnsi="Verdana" w:cs="仿宋" w:hint="eastAsia"/>
        </w:rPr>
        <w:t>年</w:t>
      </w:r>
      <w:r w:rsidRPr="005A354F">
        <w:rPr>
          <w:rFonts w:ascii="Verdana" w:eastAsia="华文细黑" w:hAnsi="Verdana" w:cs="仿宋"/>
        </w:rPr>
        <w:t>7</w:t>
      </w:r>
      <w:r w:rsidRPr="005A354F">
        <w:rPr>
          <w:rFonts w:ascii="Verdana" w:eastAsia="华文细黑" w:hAnsi="Verdana" w:cs="仿宋" w:hint="eastAsia"/>
        </w:rPr>
        <w:t>月</w:t>
      </w:r>
      <w:r w:rsidRPr="005A354F">
        <w:rPr>
          <w:rFonts w:ascii="Verdana" w:eastAsia="华文细黑" w:hAnsi="Verdana" w:cs="仿宋"/>
        </w:rPr>
        <w:t>5</w:t>
      </w:r>
      <w:r w:rsidRPr="005A354F">
        <w:rPr>
          <w:rFonts w:ascii="Verdana" w:eastAsia="华文细黑" w:hAnsi="Verdana" w:cs="仿宋" w:hint="eastAsia"/>
        </w:rPr>
        <w:t>日，三亚市发展和改革委员会</w:t>
      </w:r>
      <w:proofErr w:type="gramStart"/>
      <w:r w:rsidRPr="005A354F">
        <w:rPr>
          <w:rFonts w:ascii="Verdana" w:eastAsia="华文细黑" w:hAnsi="Verdana" w:cs="仿宋" w:hint="eastAsia"/>
        </w:rPr>
        <w:t>作出</w:t>
      </w:r>
      <w:proofErr w:type="gramEnd"/>
      <w:r w:rsidRPr="005A354F">
        <w:rPr>
          <w:rFonts w:ascii="Verdana" w:eastAsia="华文细黑" w:hAnsi="Verdana" w:cs="仿宋" w:hint="eastAsia"/>
        </w:rPr>
        <w:t>《关于三亚市鹿回头及红沙南片区排水管网提质增效工程项目可行性研究报告的批复》（三发改投〔</w:t>
      </w:r>
      <w:r w:rsidRPr="005A354F">
        <w:rPr>
          <w:rFonts w:ascii="Verdana" w:eastAsia="华文细黑" w:hAnsi="Verdana" w:cs="仿宋"/>
        </w:rPr>
        <w:t>2022</w:t>
      </w:r>
      <w:r w:rsidRPr="005A354F">
        <w:rPr>
          <w:rFonts w:ascii="Verdana" w:eastAsia="华文细黑" w:hAnsi="Verdana" w:cs="仿宋" w:hint="eastAsia"/>
        </w:rPr>
        <w:t>〕</w:t>
      </w:r>
      <w:r w:rsidRPr="005A354F">
        <w:rPr>
          <w:rFonts w:ascii="Verdana" w:eastAsia="华文细黑" w:hAnsi="Verdana" w:cs="仿宋"/>
        </w:rPr>
        <w:t>190</w:t>
      </w:r>
      <w:r w:rsidRPr="005A354F">
        <w:rPr>
          <w:rFonts w:ascii="Verdana" w:eastAsia="华文细黑" w:hAnsi="Verdana" w:cs="仿宋" w:hint="eastAsia"/>
        </w:rPr>
        <w:t>号）；</w:t>
      </w:r>
    </w:p>
    <w:p w14:paraId="0ACB877A" w14:textId="77777777" w:rsidR="005A354F" w:rsidRDefault="005A354F" w:rsidP="005A354F">
      <w:pPr>
        <w:widowControl w:val="0"/>
        <w:snapToGrid w:val="0"/>
        <w:spacing w:line="520" w:lineRule="exact"/>
        <w:ind w:firstLineChars="200" w:firstLine="480"/>
        <w:jc w:val="both"/>
        <w:rPr>
          <w:rFonts w:ascii="Verdana" w:eastAsia="华文细黑" w:hAnsi="Verdana" w:cs="仿宋"/>
        </w:rPr>
      </w:pPr>
      <w:r w:rsidRPr="005A354F">
        <w:rPr>
          <w:rFonts w:ascii="Verdana" w:eastAsia="华文细黑" w:hAnsi="Verdana" w:cs="仿宋"/>
        </w:rPr>
        <w:t>2022</w:t>
      </w:r>
      <w:r w:rsidRPr="005A354F">
        <w:rPr>
          <w:rFonts w:ascii="Verdana" w:eastAsia="华文细黑" w:hAnsi="Verdana" w:cs="仿宋" w:hint="eastAsia"/>
        </w:rPr>
        <w:t>年</w:t>
      </w:r>
      <w:r w:rsidRPr="005A354F">
        <w:rPr>
          <w:rFonts w:ascii="Verdana" w:eastAsia="华文细黑" w:hAnsi="Verdana" w:cs="仿宋"/>
        </w:rPr>
        <w:t>9</w:t>
      </w:r>
      <w:r w:rsidRPr="005A354F">
        <w:rPr>
          <w:rFonts w:ascii="Verdana" w:eastAsia="华文细黑" w:hAnsi="Verdana" w:cs="仿宋" w:hint="eastAsia"/>
        </w:rPr>
        <w:t>月</w:t>
      </w:r>
      <w:r w:rsidRPr="005A354F">
        <w:rPr>
          <w:rFonts w:ascii="Verdana" w:eastAsia="华文细黑" w:hAnsi="Verdana" w:cs="仿宋"/>
        </w:rPr>
        <w:t>20</w:t>
      </w:r>
      <w:r w:rsidRPr="005A354F">
        <w:rPr>
          <w:rFonts w:ascii="Verdana" w:eastAsia="华文细黑" w:hAnsi="Verdana" w:cs="仿宋" w:hint="eastAsia"/>
        </w:rPr>
        <w:t>日，三亚市发展和改革委员会</w:t>
      </w:r>
      <w:proofErr w:type="gramStart"/>
      <w:r w:rsidRPr="005A354F">
        <w:rPr>
          <w:rFonts w:ascii="Verdana" w:eastAsia="华文细黑" w:hAnsi="Verdana" w:cs="仿宋" w:hint="eastAsia"/>
        </w:rPr>
        <w:t>作出</w:t>
      </w:r>
      <w:proofErr w:type="gramEnd"/>
      <w:r w:rsidRPr="005A354F">
        <w:rPr>
          <w:rFonts w:ascii="Verdana" w:eastAsia="华文细黑" w:hAnsi="Verdana" w:cs="仿宋" w:hint="eastAsia"/>
        </w:rPr>
        <w:t>《关于三亚市鹿回头及红沙南片区排水管网提质增效工程初步设计及概算的重新批复》（三发改投〔</w:t>
      </w:r>
      <w:r w:rsidRPr="005A354F">
        <w:rPr>
          <w:rFonts w:ascii="Verdana" w:eastAsia="华文细黑" w:hAnsi="Verdana" w:cs="仿宋"/>
        </w:rPr>
        <w:t>2022</w:t>
      </w:r>
      <w:r w:rsidRPr="005A354F">
        <w:rPr>
          <w:rFonts w:ascii="Verdana" w:eastAsia="华文细黑" w:hAnsi="Verdana" w:cs="仿宋" w:hint="eastAsia"/>
        </w:rPr>
        <w:t>〕</w:t>
      </w:r>
      <w:r w:rsidRPr="005A354F">
        <w:rPr>
          <w:rFonts w:ascii="Verdana" w:eastAsia="华文细黑" w:hAnsi="Verdana" w:cs="仿宋"/>
        </w:rPr>
        <w:t>251</w:t>
      </w:r>
      <w:r w:rsidRPr="005A354F">
        <w:rPr>
          <w:rFonts w:ascii="Verdana" w:eastAsia="华文细黑" w:hAnsi="Verdana" w:cs="仿宋" w:hint="eastAsia"/>
        </w:rPr>
        <w:t>号）；</w:t>
      </w:r>
    </w:p>
    <w:p w14:paraId="5E55C401" w14:textId="45BE5D08" w:rsidR="00856881" w:rsidRPr="005A354F" w:rsidRDefault="00856881" w:rsidP="005A354F">
      <w:pPr>
        <w:widowControl w:val="0"/>
        <w:snapToGrid w:val="0"/>
        <w:spacing w:line="520" w:lineRule="exact"/>
        <w:ind w:firstLineChars="200" w:firstLine="480"/>
        <w:jc w:val="both"/>
        <w:rPr>
          <w:rFonts w:ascii="Verdana" w:eastAsia="华文细黑" w:hAnsi="Verdana" w:cs="仿宋"/>
        </w:rPr>
      </w:pPr>
      <w:r w:rsidRPr="00856881">
        <w:rPr>
          <w:rFonts w:ascii="Verdana" w:eastAsia="华文细黑" w:hAnsi="Verdana" w:cs="仿宋"/>
        </w:rPr>
        <w:t>2022</w:t>
      </w:r>
      <w:r w:rsidRPr="00856881">
        <w:rPr>
          <w:rFonts w:ascii="Verdana" w:eastAsia="华文细黑" w:hAnsi="Verdana" w:cs="仿宋" w:hint="eastAsia"/>
        </w:rPr>
        <w:t>年</w:t>
      </w:r>
      <w:r w:rsidRPr="00856881">
        <w:rPr>
          <w:rFonts w:ascii="Verdana" w:eastAsia="华文细黑" w:hAnsi="Verdana" w:cs="仿宋"/>
        </w:rPr>
        <w:t>9</w:t>
      </w:r>
      <w:r w:rsidRPr="00856881">
        <w:rPr>
          <w:rFonts w:ascii="Verdana" w:eastAsia="华文细黑" w:hAnsi="Verdana" w:cs="仿宋" w:hint="eastAsia"/>
        </w:rPr>
        <w:t>月</w:t>
      </w:r>
      <w:r w:rsidRPr="00856881">
        <w:rPr>
          <w:rFonts w:ascii="Verdana" w:eastAsia="华文细黑" w:hAnsi="Verdana" w:cs="仿宋"/>
        </w:rPr>
        <w:t>20</w:t>
      </w:r>
      <w:r w:rsidRPr="00856881">
        <w:rPr>
          <w:rFonts w:ascii="Verdana" w:eastAsia="华文细黑" w:hAnsi="Verdana" w:cs="仿宋" w:hint="eastAsia"/>
        </w:rPr>
        <w:t>日，三亚市</w:t>
      </w:r>
      <w:r>
        <w:rPr>
          <w:rFonts w:ascii="Verdana" w:eastAsia="华文细黑" w:hAnsi="Verdana" w:cs="仿宋" w:hint="eastAsia"/>
        </w:rPr>
        <w:t>投资评审中心</w:t>
      </w:r>
      <w:proofErr w:type="gramStart"/>
      <w:r w:rsidRPr="00856881">
        <w:rPr>
          <w:rFonts w:ascii="Verdana" w:eastAsia="华文细黑" w:hAnsi="Verdana" w:cs="仿宋" w:hint="eastAsia"/>
        </w:rPr>
        <w:t>作出</w:t>
      </w:r>
      <w:proofErr w:type="gramEnd"/>
      <w:r w:rsidRPr="00856881">
        <w:rPr>
          <w:rFonts w:ascii="Verdana" w:eastAsia="华文细黑" w:hAnsi="Verdana" w:cs="仿宋" w:hint="eastAsia"/>
        </w:rPr>
        <w:t>《三亚市鹿回头及红沙南片区排水管网提质增效工程</w:t>
      </w:r>
      <w:r>
        <w:rPr>
          <w:rFonts w:ascii="Verdana" w:eastAsia="华文细黑" w:hAnsi="Verdana" w:cs="仿宋" w:hint="eastAsia"/>
        </w:rPr>
        <w:t>预算审核结论书</w:t>
      </w:r>
      <w:r w:rsidRPr="00856881">
        <w:rPr>
          <w:rFonts w:ascii="Verdana" w:eastAsia="华文细黑" w:hAnsi="Verdana" w:cs="仿宋" w:hint="eastAsia"/>
        </w:rPr>
        <w:t>》（</w:t>
      </w:r>
      <w:proofErr w:type="gramStart"/>
      <w:r w:rsidRPr="00856881">
        <w:rPr>
          <w:rFonts w:ascii="Verdana" w:eastAsia="华文细黑" w:hAnsi="Verdana" w:cs="仿宋" w:hint="eastAsia"/>
        </w:rPr>
        <w:t>三</w:t>
      </w:r>
      <w:r>
        <w:rPr>
          <w:rFonts w:ascii="Verdana" w:eastAsia="华文细黑" w:hAnsi="Verdana" w:cs="仿宋" w:hint="eastAsia"/>
        </w:rPr>
        <w:t>财评</w:t>
      </w:r>
      <w:proofErr w:type="gramEnd"/>
      <w:r w:rsidRPr="00856881">
        <w:rPr>
          <w:rFonts w:ascii="Verdana" w:eastAsia="华文细黑" w:hAnsi="Verdana" w:cs="仿宋" w:hint="eastAsia"/>
        </w:rPr>
        <w:t>〔</w:t>
      </w:r>
      <w:r w:rsidRPr="00856881">
        <w:rPr>
          <w:rFonts w:ascii="Verdana" w:eastAsia="华文细黑" w:hAnsi="Verdana" w:cs="仿宋"/>
        </w:rPr>
        <w:t>2022</w:t>
      </w:r>
      <w:r w:rsidRPr="00856881">
        <w:rPr>
          <w:rFonts w:ascii="Verdana" w:eastAsia="华文细黑" w:hAnsi="Verdana" w:cs="仿宋" w:hint="eastAsia"/>
        </w:rPr>
        <w:t>〕</w:t>
      </w:r>
      <w:r>
        <w:rPr>
          <w:rFonts w:ascii="Verdana" w:eastAsia="华文细黑" w:hAnsi="Verdana" w:cs="仿宋" w:hint="eastAsia"/>
        </w:rPr>
        <w:t>141</w:t>
      </w:r>
      <w:r w:rsidRPr="00856881">
        <w:rPr>
          <w:rFonts w:ascii="Verdana" w:eastAsia="华文细黑" w:hAnsi="Verdana" w:cs="仿宋" w:hint="eastAsia"/>
        </w:rPr>
        <w:t>号）；</w:t>
      </w:r>
    </w:p>
    <w:p w14:paraId="3D18FFC1" w14:textId="77777777" w:rsidR="005A354F" w:rsidRPr="005A354F" w:rsidRDefault="005A354F" w:rsidP="005A354F">
      <w:pPr>
        <w:widowControl w:val="0"/>
        <w:snapToGrid w:val="0"/>
        <w:spacing w:line="520" w:lineRule="exact"/>
        <w:ind w:firstLineChars="200" w:firstLine="480"/>
        <w:jc w:val="both"/>
        <w:rPr>
          <w:rFonts w:ascii="Verdana" w:eastAsia="华文细黑" w:hAnsi="Verdana" w:cs="仿宋"/>
        </w:rPr>
      </w:pPr>
      <w:r w:rsidRPr="005A354F">
        <w:rPr>
          <w:rFonts w:ascii="Verdana" w:eastAsia="华文细黑" w:hAnsi="Verdana" w:cs="仿宋"/>
        </w:rPr>
        <w:t>2023</w:t>
      </w:r>
      <w:r w:rsidRPr="005A354F">
        <w:rPr>
          <w:rFonts w:ascii="Verdana" w:eastAsia="华文细黑" w:hAnsi="Verdana" w:cs="仿宋" w:hint="eastAsia"/>
        </w:rPr>
        <w:t>年</w:t>
      </w:r>
      <w:r w:rsidRPr="005A354F">
        <w:rPr>
          <w:rFonts w:ascii="Verdana" w:eastAsia="华文细黑" w:hAnsi="Verdana" w:cs="仿宋"/>
        </w:rPr>
        <w:t>4</w:t>
      </w:r>
      <w:r w:rsidRPr="005A354F">
        <w:rPr>
          <w:rFonts w:ascii="Verdana" w:eastAsia="华文细黑" w:hAnsi="Verdana" w:cs="仿宋" w:hint="eastAsia"/>
        </w:rPr>
        <w:t>月</w:t>
      </w:r>
      <w:r w:rsidRPr="005A354F">
        <w:rPr>
          <w:rFonts w:ascii="Verdana" w:eastAsia="华文细黑" w:hAnsi="Verdana" w:cs="仿宋"/>
        </w:rPr>
        <w:t>10</w:t>
      </w:r>
      <w:r w:rsidRPr="005A354F">
        <w:rPr>
          <w:rFonts w:ascii="Verdana" w:eastAsia="华文细黑" w:hAnsi="Verdana" w:cs="仿宋" w:hint="eastAsia"/>
        </w:rPr>
        <w:t>日，三亚市发展和改革委员会</w:t>
      </w:r>
      <w:proofErr w:type="gramStart"/>
      <w:r w:rsidRPr="005A354F">
        <w:rPr>
          <w:rFonts w:ascii="Verdana" w:eastAsia="华文细黑" w:hAnsi="Verdana" w:cs="仿宋" w:hint="eastAsia"/>
        </w:rPr>
        <w:t>作出</w:t>
      </w:r>
      <w:proofErr w:type="gramEnd"/>
      <w:r w:rsidRPr="005A354F">
        <w:rPr>
          <w:rFonts w:ascii="Verdana" w:eastAsia="华文细黑" w:hAnsi="Verdana" w:cs="仿宋" w:hint="eastAsia"/>
        </w:rPr>
        <w:t>《关于三亚市</w:t>
      </w:r>
      <w:r w:rsidRPr="005A354F">
        <w:rPr>
          <w:rFonts w:ascii="Verdana" w:eastAsia="华文细黑" w:hAnsi="Verdana" w:cs="仿宋"/>
        </w:rPr>
        <w:t>2023</w:t>
      </w:r>
      <w:r w:rsidRPr="005A354F">
        <w:rPr>
          <w:rFonts w:ascii="Verdana" w:eastAsia="华文细黑" w:hAnsi="Verdana" w:cs="仿宋" w:hint="eastAsia"/>
        </w:rPr>
        <w:t>年农村饮水巩固提升工程项目立项的批复》（三发改农经〔</w:t>
      </w:r>
      <w:r w:rsidRPr="005A354F">
        <w:rPr>
          <w:rFonts w:ascii="Verdana" w:eastAsia="华文细黑" w:hAnsi="Verdana" w:cs="仿宋"/>
        </w:rPr>
        <w:t>2023</w:t>
      </w:r>
      <w:r w:rsidRPr="005A354F">
        <w:rPr>
          <w:rFonts w:ascii="Verdana" w:eastAsia="华文细黑" w:hAnsi="Verdana" w:cs="仿宋" w:hint="eastAsia"/>
        </w:rPr>
        <w:t>〕</w:t>
      </w:r>
      <w:r w:rsidRPr="005A354F">
        <w:rPr>
          <w:rFonts w:ascii="Verdana" w:eastAsia="华文细黑" w:hAnsi="Verdana" w:cs="仿宋"/>
        </w:rPr>
        <w:t>62</w:t>
      </w:r>
      <w:r w:rsidRPr="005A354F">
        <w:rPr>
          <w:rFonts w:ascii="Verdana" w:eastAsia="华文细黑" w:hAnsi="Verdana" w:cs="仿宋" w:hint="eastAsia"/>
        </w:rPr>
        <w:t>号）；</w:t>
      </w:r>
    </w:p>
    <w:p w14:paraId="03185DF1" w14:textId="77777777" w:rsidR="005A354F" w:rsidRPr="005A354F" w:rsidRDefault="005A354F" w:rsidP="005A354F">
      <w:pPr>
        <w:widowControl w:val="0"/>
        <w:snapToGrid w:val="0"/>
        <w:spacing w:line="520" w:lineRule="exact"/>
        <w:ind w:firstLineChars="200" w:firstLine="480"/>
        <w:jc w:val="both"/>
        <w:rPr>
          <w:rFonts w:ascii="Verdana" w:eastAsia="华文细黑" w:hAnsi="Verdana" w:cs="仿宋"/>
        </w:rPr>
      </w:pPr>
      <w:r w:rsidRPr="005A354F">
        <w:rPr>
          <w:rFonts w:ascii="Verdana" w:eastAsia="华文细黑" w:hAnsi="Verdana" w:cs="仿宋"/>
        </w:rPr>
        <w:t>2023</w:t>
      </w:r>
      <w:r w:rsidRPr="005A354F">
        <w:rPr>
          <w:rFonts w:ascii="Verdana" w:eastAsia="华文细黑" w:hAnsi="Verdana" w:cs="仿宋" w:hint="eastAsia"/>
        </w:rPr>
        <w:t>年</w:t>
      </w:r>
      <w:r w:rsidRPr="005A354F">
        <w:rPr>
          <w:rFonts w:ascii="Verdana" w:eastAsia="华文细黑" w:hAnsi="Verdana" w:cs="仿宋"/>
        </w:rPr>
        <w:t>7</w:t>
      </w:r>
      <w:r w:rsidRPr="005A354F">
        <w:rPr>
          <w:rFonts w:ascii="Verdana" w:eastAsia="华文细黑" w:hAnsi="Verdana" w:cs="仿宋" w:hint="eastAsia"/>
        </w:rPr>
        <w:t>月</w:t>
      </w:r>
      <w:r w:rsidRPr="005A354F">
        <w:rPr>
          <w:rFonts w:ascii="Verdana" w:eastAsia="华文细黑" w:hAnsi="Verdana" w:cs="仿宋"/>
        </w:rPr>
        <w:t>11</w:t>
      </w:r>
      <w:r w:rsidRPr="005A354F">
        <w:rPr>
          <w:rFonts w:ascii="Verdana" w:eastAsia="华文细黑" w:hAnsi="Verdana" w:cs="仿宋" w:hint="eastAsia"/>
        </w:rPr>
        <w:t>日，三亚市发展和改革委员会</w:t>
      </w:r>
      <w:proofErr w:type="gramStart"/>
      <w:r w:rsidRPr="005A354F">
        <w:rPr>
          <w:rFonts w:ascii="Verdana" w:eastAsia="华文细黑" w:hAnsi="Verdana" w:cs="仿宋" w:hint="eastAsia"/>
        </w:rPr>
        <w:t>作出</w:t>
      </w:r>
      <w:proofErr w:type="gramEnd"/>
      <w:r w:rsidRPr="005A354F">
        <w:rPr>
          <w:rFonts w:ascii="Verdana" w:eastAsia="华文细黑" w:hAnsi="Verdana" w:cs="仿宋" w:hint="eastAsia"/>
        </w:rPr>
        <w:t>《关于三亚市</w:t>
      </w:r>
      <w:r w:rsidRPr="005A354F">
        <w:rPr>
          <w:rFonts w:ascii="Verdana" w:eastAsia="华文细黑" w:hAnsi="Verdana" w:cs="仿宋"/>
        </w:rPr>
        <w:t>2023</w:t>
      </w:r>
      <w:r w:rsidRPr="005A354F">
        <w:rPr>
          <w:rFonts w:ascii="Verdana" w:eastAsia="华文细黑" w:hAnsi="Verdana" w:cs="仿宋" w:hint="eastAsia"/>
        </w:rPr>
        <w:t>年农村饮水巩固提升工程可行性研究报告的批复》（三发改农经〔</w:t>
      </w:r>
      <w:r w:rsidRPr="005A354F">
        <w:rPr>
          <w:rFonts w:ascii="Verdana" w:eastAsia="华文细黑" w:hAnsi="Verdana" w:cs="仿宋"/>
        </w:rPr>
        <w:t>2023</w:t>
      </w:r>
      <w:r w:rsidRPr="005A354F">
        <w:rPr>
          <w:rFonts w:ascii="Verdana" w:eastAsia="华文细黑" w:hAnsi="Verdana" w:cs="仿宋" w:hint="eastAsia"/>
        </w:rPr>
        <w:t>〕</w:t>
      </w:r>
      <w:r w:rsidRPr="005A354F">
        <w:rPr>
          <w:rFonts w:ascii="Verdana" w:eastAsia="华文细黑" w:hAnsi="Verdana" w:cs="仿宋"/>
        </w:rPr>
        <w:t>110</w:t>
      </w:r>
      <w:r w:rsidRPr="005A354F">
        <w:rPr>
          <w:rFonts w:ascii="Verdana" w:eastAsia="华文细黑" w:hAnsi="Verdana" w:cs="仿宋" w:hint="eastAsia"/>
        </w:rPr>
        <w:t>号）；</w:t>
      </w:r>
    </w:p>
    <w:p w14:paraId="58D89D52" w14:textId="77777777" w:rsidR="005A354F" w:rsidRPr="005A354F" w:rsidRDefault="005A354F" w:rsidP="005A354F">
      <w:pPr>
        <w:widowControl w:val="0"/>
        <w:snapToGrid w:val="0"/>
        <w:spacing w:line="520" w:lineRule="exact"/>
        <w:ind w:firstLineChars="200" w:firstLine="480"/>
        <w:jc w:val="both"/>
        <w:rPr>
          <w:rFonts w:ascii="Verdana" w:eastAsia="华文细黑" w:hAnsi="Verdana" w:cs="仿宋"/>
        </w:rPr>
      </w:pPr>
      <w:r w:rsidRPr="005A354F">
        <w:rPr>
          <w:rFonts w:ascii="Verdana" w:eastAsia="华文细黑" w:hAnsi="Verdana" w:cs="仿宋"/>
        </w:rPr>
        <w:t>2023</w:t>
      </w:r>
      <w:r w:rsidRPr="005A354F">
        <w:rPr>
          <w:rFonts w:ascii="Verdana" w:eastAsia="华文细黑" w:hAnsi="Verdana" w:cs="仿宋" w:hint="eastAsia"/>
        </w:rPr>
        <w:t>年</w:t>
      </w:r>
      <w:r w:rsidRPr="005A354F">
        <w:rPr>
          <w:rFonts w:ascii="Verdana" w:eastAsia="华文细黑" w:hAnsi="Verdana" w:cs="仿宋"/>
        </w:rPr>
        <w:t>10</w:t>
      </w:r>
      <w:r w:rsidRPr="005A354F">
        <w:rPr>
          <w:rFonts w:ascii="Verdana" w:eastAsia="华文细黑" w:hAnsi="Verdana" w:cs="仿宋" w:hint="eastAsia"/>
        </w:rPr>
        <w:t>月</w:t>
      </w:r>
      <w:r w:rsidRPr="005A354F">
        <w:rPr>
          <w:rFonts w:ascii="Verdana" w:eastAsia="华文细黑" w:hAnsi="Verdana" w:cs="仿宋"/>
        </w:rPr>
        <w:t>10</w:t>
      </w:r>
      <w:r w:rsidRPr="005A354F">
        <w:rPr>
          <w:rFonts w:ascii="Verdana" w:eastAsia="华文细黑" w:hAnsi="Verdana" w:cs="仿宋" w:hint="eastAsia"/>
        </w:rPr>
        <w:t>日，三亚市发展和改革委员会</w:t>
      </w:r>
      <w:proofErr w:type="gramStart"/>
      <w:r w:rsidRPr="005A354F">
        <w:rPr>
          <w:rFonts w:ascii="Verdana" w:eastAsia="华文细黑" w:hAnsi="Verdana" w:cs="仿宋" w:hint="eastAsia"/>
        </w:rPr>
        <w:t>作出</w:t>
      </w:r>
      <w:proofErr w:type="gramEnd"/>
      <w:r w:rsidRPr="005A354F">
        <w:rPr>
          <w:rFonts w:ascii="Verdana" w:eastAsia="华文细黑" w:hAnsi="Verdana" w:cs="仿宋" w:hint="eastAsia"/>
        </w:rPr>
        <w:t>《关于三亚市</w:t>
      </w:r>
      <w:r w:rsidRPr="005A354F">
        <w:rPr>
          <w:rFonts w:ascii="Verdana" w:eastAsia="华文细黑" w:hAnsi="Verdana" w:cs="仿宋"/>
        </w:rPr>
        <w:t>2023</w:t>
      </w:r>
      <w:r w:rsidRPr="005A354F">
        <w:rPr>
          <w:rFonts w:ascii="Verdana" w:eastAsia="华文细黑" w:hAnsi="Verdana" w:cs="仿宋" w:hint="eastAsia"/>
        </w:rPr>
        <w:t>年农村饮水巩固提升工程初步设计及概算的批复》（三发改农经〔</w:t>
      </w:r>
      <w:r w:rsidRPr="005A354F">
        <w:rPr>
          <w:rFonts w:ascii="Verdana" w:eastAsia="华文细黑" w:hAnsi="Verdana" w:cs="仿宋"/>
        </w:rPr>
        <w:t>2023</w:t>
      </w:r>
      <w:r w:rsidRPr="005A354F">
        <w:rPr>
          <w:rFonts w:ascii="Verdana" w:eastAsia="华文细黑" w:hAnsi="Verdana" w:cs="仿宋" w:hint="eastAsia"/>
        </w:rPr>
        <w:t>〕</w:t>
      </w:r>
      <w:r w:rsidRPr="005A354F">
        <w:rPr>
          <w:rFonts w:ascii="Verdana" w:eastAsia="华文细黑" w:hAnsi="Verdana" w:cs="仿宋"/>
        </w:rPr>
        <w:t>148</w:t>
      </w:r>
      <w:r w:rsidRPr="005A354F">
        <w:rPr>
          <w:rFonts w:ascii="Verdana" w:eastAsia="华文细黑" w:hAnsi="Verdana" w:cs="仿宋" w:hint="eastAsia"/>
        </w:rPr>
        <w:t>号）；</w:t>
      </w:r>
    </w:p>
    <w:p w14:paraId="77D07725" w14:textId="72F54A25" w:rsidR="00D47FB6" w:rsidRPr="00A91E84" w:rsidRDefault="005A354F" w:rsidP="005A354F">
      <w:pPr>
        <w:widowControl w:val="0"/>
        <w:snapToGrid w:val="0"/>
        <w:spacing w:line="520" w:lineRule="exact"/>
        <w:ind w:firstLineChars="200" w:firstLine="480"/>
        <w:jc w:val="both"/>
        <w:rPr>
          <w:rFonts w:ascii="Verdana" w:eastAsia="华文细黑" w:hAnsi="Verdana" w:cs="仿宋"/>
        </w:rPr>
      </w:pPr>
      <w:r w:rsidRPr="005A354F">
        <w:rPr>
          <w:rFonts w:ascii="Verdana" w:eastAsia="华文细黑" w:hAnsi="Verdana" w:cs="仿宋"/>
        </w:rPr>
        <w:t>2023</w:t>
      </w:r>
      <w:r w:rsidRPr="005A354F">
        <w:rPr>
          <w:rFonts w:ascii="Verdana" w:eastAsia="华文细黑" w:hAnsi="Verdana" w:cs="仿宋" w:hint="eastAsia"/>
        </w:rPr>
        <w:t>年</w:t>
      </w:r>
      <w:r w:rsidRPr="005A354F">
        <w:rPr>
          <w:rFonts w:ascii="Verdana" w:eastAsia="华文细黑" w:hAnsi="Verdana" w:cs="仿宋"/>
        </w:rPr>
        <w:t>12</w:t>
      </w:r>
      <w:r w:rsidRPr="005A354F">
        <w:rPr>
          <w:rFonts w:ascii="Verdana" w:eastAsia="华文细黑" w:hAnsi="Verdana" w:cs="仿宋" w:hint="eastAsia"/>
        </w:rPr>
        <w:t>月</w:t>
      </w:r>
      <w:r w:rsidRPr="005A354F">
        <w:rPr>
          <w:rFonts w:ascii="Verdana" w:eastAsia="华文细黑" w:hAnsi="Verdana" w:cs="仿宋"/>
        </w:rPr>
        <w:t>8</w:t>
      </w:r>
      <w:r w:rsidRPr="005A354F">
        <w:rPr>
          <w:rFonts w:ascii="Verdana" w:eastAsia="华文细黑" w:hAnsi="Verdana" w:cs="仿宋" w:hint="eastAsia"/>
        </w:rPr>
        <w:t>日，三亚市投资评审中心</w:t>
      </w:r>
      <w:proofErr w:type="gramStart"/>
      <w:r w:rsidRPr="005A354F">
        <w:rPr>
          <w:rFonts w:ascii="Verdana" w:eastAsia="华文细黑" w:hAnsi="Verdana" w:cs="仿宋" w:hint="eastAsia"/>
        </w:rPr>
        <w:t>作出</w:t>
      </w:r>
      <w:proofErr w:type="gramEnd"/>
      <w:r w:rsidRPr="005A354F">
        <w:rPr>
          <w:rFonts w:ascii="Verdana" w:eastAsia="华文细黑" w:hAnsi="Verdana" w:cs="仿宋" w:hint="eastAsia"/>
        </w:rPr>
        <w:t>《三亚市</w:t>
      </w:r>
      <w:r w:rsidRPr="005A354F">
        <w:rPr>
          <w:rFonts w:ascii="Verdana" w:eastAsia="华文细黑" w:hAnsi="Verdana" w:cs="仿宋"/>
        </w:rPr>
        <w:t>2023</w:t>
      </w:r>
      <w:r w:rsidRPr="005A354F">
        <w:rPr>
          <w:rFonts w:ascii="Verdana" w:eastAsia="华文细黑" w:hAnsi="Verdana" w:cs="仿宋" w:hint="eastAsia"/>
        </w:rPr>
        <w:t>年农村饮水巩固提升工程预算审核结论书》（</w:t>
      </w:r>
      <w:proofErr w:type="gramStart"/>
      <w:r w:rsidRPr="005A354F">
        <w:rPr>
          <w:rFonts w:ascii="Verdana" w:eastAsia="华文细黑" w:hAnsi="Verdana" w:cs="仿宋" w:hint="eastAsia"/>
        </w:rPr>
        <w:t>三财评</w:t>
      </w:r>
      <w:proofErr w:type="gramEnd"/>
      <w:r w:rsidRPr="005A354F">
        <w:rPr>
          <w:rFonts w:ascii="Verdana" w:eastAsia="华文细黑" w:hAnsi="Verdana" w:cs="仿宋" w:hint="eastAsia"/>
        </w:rPr>
        <w:t>〔</w:t>
      </w:r>
      <w:r w:rsidRPr="005A354F">
        <w:rPr>
          <w:rFonts w:ascii="Verdana" w:eastAsia="华文细黑" w:hAnsi="Verdana" w:cs="仿宋"/>
        </w:rPr>
        <w:t>2023</w:t>
      </w:r>
      <w:r w:rsidRPr="005A354F">
        <w:rPr>
          <w:rFonts w:ascii="Verdana" w:eastAsia="华文细黑" w:hAnsi="Verdana" w:cs="仿宋" w:hint="eastAsia"/>
        </w:rPr>
        <w:t>〕</w:t>
      </w:r>
      <w:r w:rsidRPr="005A354F">
        <w:rPr>
          <w:rFonts w:ascii="Verdana" w:eastAsia="华文细黑" w:hAnsi="Verdana" w:cs="仿宋"/>
        </w:rPr>
        <w:t>218</w:t>
      </w:r>
      <w:r w:rsidRPr="005A354F">
        <w:rPr>
          <w:rFonts w:ascii="Verdana" w:eastAsia="华文细黑" w:hAnsi="Verdana" w:cs="仿宋" w:hint="eastAsia"/>
        </w:rPr>
        <w:t>号）</w:t>
      </w:r>
      <w:r w:rsidR="00D47FB6">
        <w:rPr>
          <w:rFonts w:ascii="Verdana" w:eastAsia="华文细黑" w:hAnsi="Verdana" w:cs="仿宋" w:hint="eastAsia"/>
        </w:rPr>
        <w:t>；</w:t>
      </w:r>
    </w:p>
    <w:p w14:paraId="7CAC077F" w14:textId="208B7D8D" w:rsidR="00D47FB6" w:rsidRPr="00D47FB6" w:rsidRDefault="00D47FB6" w:rsidP="00D47FB6">
      <w:pPr>
        <w:widowControl w:val="0"/>
        <w:snapToGrid w:val="0"/>
        <w:spacing w:line="520" w:lineRule="exact"/>
        <w:ind w:firstLineChars="200" w:firstLine="480"/>
        <w:jc w:val="both"/>
        <w:rPr>
          <w:rFonts w:ascii="Verdana" w:eastAsia="华文细黑" w:hAnsi="Verdana" w:cs="仿宋"/>
        </w:rPr>
      </w:pPr>
      <w:r w:rsidRPr="00D47FB6">
        <w:rPr>
          <w:rFonts w:ascii="Verdana" w:eastAsia="华文细黑" w:hAnsi="Verdana" w:cs="仿宋"/>
        </w:rPr>
        <w:t>2022</w:t>
      </w:r>
      <w:r w:rsidRPr="00D47FB6">
        <w:rPr>
          <w:rFonts w:ascii="Verdana" w:eastAsia="华文细黑" w:hAnsi="Verdana" w:cs="仿宋" w:hint="eastAsia"/>
        </w:rPr>
        <w:t>年</w:t>
      </w:r>
      <w:r w:rsidRPr="00D47FB6">
        <w:rPr>
          <w:rFonts w:ascii="Verdana" w:eastAsia="华文细黑" w:hAnsi="Verdana" w:cs="仿宋"/>
        </w:rPr>
        <w:t>1</w:t>
      </w:r>
      <w:r w:rsidRPr="00D47FB6">
        <w:rPr>
          <w:rFonts w:ascii="Verdana" w:eastAsia="华文细黑" w:hAnsi="Verdana" w:cs="仿宋" w:hint="eastAsia"/>
        </w:rPr>
        <w:t>月</w:t>
      </w:r>
      <w:r w:rsidRPr="00D47FB6">
        <w:rPr>
          <w:rFonts w:ascii="Verdana" w:eastAsia="华文细黑" w:hAnsi="Verdana" w:cs="仿宋"/>
        </w:rPr>
        <w:t>30</w:t>
      </w:r>
      <w:r w:rsidRPr="00D47FB6">
        <w:rPr>
          <w:rFonts w:ascii="Verdana" w:eastAsia="华文细黑" w:hAnsi="Verdana" w:cs="仿宋" w:hint="eastAsia"/>
        </w:rPr>
        <w:t>日，三亚市发展和改革委员会</w:t>
      </w:r>
      <w:proofErr w:type="gramStart"/>
      <w:r w:rsidRPr="00D47FB6">
        <w:rPr>
          <w:rFonts w:ascii="Verdana" w:eastAsia="华文细黑" w:hAnsi="Verdana" w:cs="仿宋" w:hint="eastAsia"/>
        </w:rPr>
        <w:t>作出</w:t>
      </w:r>
      <w:proofErr w:type="gramEnd"/>
      <w:r w:rsidRPr="00D47FB6">
        <w:rPr>
          <w:rFonts w:ascii="Verdana" w:eastAsia="华文细黑" w:hAnsi="Verdana" w:cs="仿宋" w:hint="eastAsia"/>
        </w:rPr>
        <w:t>《关于三亚市抱坡溪东片区排水管网提质增效工程项目立项的批复》（三发改投</w:t>
      </w:r>
      <w:r w:rsidR="003A71E5" w:rsidRPr="003A71E5">
        <w:rPr>
          <w:rFonts w:ascii="Verdana" w:eastAsia="华文细黑" w:hAnsi="Verdana" w:cs="仿宋" w:hint="eastAsia"/>
        </w:rPr>
        <w:t>〔</w:t>
      </w:r>
      <w:r w:rsidRPr="00D47FB6">
        <w:rPr>
          <w:rFonts w:ascii="Verdana" w:eastAsia="华文细黑" w:hAnsi="Verdana" w:cs="仿宋"/>
        </w:rPr>
        <w:t>2022</w:t>
      </w:r>
      <w:r w:rsidR="003A71E5" w:rsidRPr="003A71E5">
        <w:rPr>
          <w:rFonts w:ascii="Verdana" w:eastAsia="华文细黑" w:hAnsi="Verdana" w:cs="仿宋" w:hint="eastAsia"/>
        </w:rPr>
        <w:t>〕</w:t>
      </w:r>
      <w:r w:rsidRPr="00D47FB6">
        <w:rPr>
          <w:rFonts w:ascii="Verdana" w:eastAsia="华文细黑" w:hAnsi="Verdana" w:cs="仿宋"/>
        </w:rPr>
        <w:t>34</w:t>
      </w:r>
      <w:r w:rsidRPr="00D47FB6">
        <w:rPr>
          <w:rFonts w:ascii="Verdana" w:eastAsia="华文细黑" w:hAnsi="Verdana" w:cs="仿宋" w:hint="eastAsia"/>
        </w:rPr>
        <w:t>号）；</w:t>
      </w:r>
    </w:p>
    <w:p w14:paraId="6EA8950F" w14:textId="5230A8D1" w:rsidR="00D47FB6" w:rsidRPr="00D47FB6" w:rsidRDefault="00D47FB6" w:rsidP="00D47FB6">
      <w:pPr>
        <w:widowControl w:val="0"/>
        <w:snapToGrid w:val="0"/>
        <w:spacing w:line="520" w:lineRule="exact"/>
        <w:ind w:firstLineChars="200" w:firstLine="480"/>
        <w:jc w:val="both"/>
        <w:rPr>
          <w:rFonts w:ascii="Verdana" w:eastAsia="华文细黑" w:hAnsi="Verdana" w:cs="仿宋"/>
        </w:rPr>
      </w:pPr>
      <w:r w:rsidRPr="00D47FB6">
        <w:rPr>
          <w:rFonts w:ascii="Verdana" w:eastAsia="华文细黑" w:hAnsi="Verdana" w:cs="仿宋"/>
        </w:rPr>
        <w:t>2022</w:t>
      </w:r>
      <w:r w:rsidRPr="00D47FB6">
        <w:rPr>
          <w:rFonts w:ascii="Verdana" w:eastAsia="华文细黑" w:hAnsi="Verdana" w:cs="仿宋" w:hint="eastAsia"/>
        </w:rPr>
        <w:t>年</w:t>
      </w:r>
      <w:r w:rsidRPr="00D47FB6">
        <w:rPr>
          <w:rFonts w:ascii="Verdana" w:eastAsia="华文细黑" w:hAnsi="Verdana" w:cs="仿宋"/>
        </w:rPr>
        <w:t>7</w:t>
      </w:r>
      <w:r w:rsidRPr="00D47FB6">
        <w:rPr>
          <w:rFonts w:ascii="Verdana" w:eastAsia="华文细黑" w:hAnsi="Verdana" w:cs="仿宋" w:hint="eastAsia"/>
        </w:rPr>
        <w:t>月</w:t>
      </w:r>
      <w:r w:rsidRPr="00D47FB6">
        <w:rPr>
          <w:rFonts w:ascii="Verdana" w:eastAsia="华文细黑" w:hAnsi="Verdana" w:cs="仿宋"/>
        </w:rPr>
        <w:t>5</w:t>
      </w:r>
      <w:r w:rsidRPr="00D47FB6">
        <w:rPr>
          <w:rFonts w:ascii="Verdana" w:eastAsia="华文细黑" w:hAnsi="Verdana" w:cs="仿宋" w:hint="eastAsia"/>
        </w:rPr>
        <w:t>日，三亚市发展和改革委员会</w:t>
      </w:r>
      <w:proofErr w:type="gramStart"/>
      <w:r w:rsidRPr="00D47FB6">
        <w:rPr>
          <w:rFonts w:ascii="Verdana" w:eastAsia="华文细黑" w:hAnsi="Verdana" w:cs="仿宋" w:hint="eastAsia"/>
        </w:rPr>
        <w:t>作出</w:t>
      </w:r>
      <w:proofErr w:type="gramEnd"/>
      <w:r w:rsidRPr="00D47FB6">
        <w:rPr>
          <w:rFonts w:ascii="Verdana" w:eastAsia="华文细黑" w:hAnsi="Verdana" w:cs="仿宋" w:hint="eastAsia"/>
        </w:rPr>
        <w:t>《关于三亚市抱坡溪东片区排水管网提质增效工程项目可行性研究报告的批复》（三发改投</w:t>
      </w:r>
      <w:r w:rsidR="003A71E5" w:rsidRPr="003A71E5">
        <w:rPr>
          <w:rFonts w:ascii="Verdana" w:eastAsia="华文细黑" w:hAnsi="Verdana" w:cs="仿宋" w:hint="eastAsia"/>
        </w:rPr>
        <w:t>〔</w:t>
      </w:r>
      <w:r w:rsidRPr="00D47FB6">
        <w:rPr>
          <w:rFonts w:ascii="Verdana" w:eastAsia="华文细黑" w:hAnsi="Verdana" w:cs="仿宋"/>
        </w:rPr>
        <w:t>2022</w:t>
      </w:r>
      <w:r w:rsidR="003A71E5" w:rsidRPr="003A71E5">
        <w:rPr>
          <w:rFonts w:ascii="Verdana" w:eastAsia="华文细黑" w:hAnsi="Verdana" w:cs="仿宋" w:hint="eastAsia"/>
        </w:rPr>
        <w:t>〕</w:t>
      </w:r>
      <w:r w:rsidRPr="00D47FB6">
        <w:rPr>
          <w:rFonts w:ascii="Verdana" w:eastAsia="华文细黑" w:hAnsi="Verdana" w:cs="仿宋"/>
        </w:rPr>
        <w:t>189</w:t>
      </w:r>
      <w:r w:rsidRPr="00D47FB6">
        <w:rPr>
          <w:rFonts w:ascii="Verdana" w:eastAsia="华文细黑" w:hAnsi="Verdana" w:cs="仿宋" w:hint="eastAsia"/>
        </w:rPr>
        <w:t>号）；</w:t>
      </w:r>
    </w:p>
    <w:p w14:paraId="546B5F74" w14:textId="429B6B55" w:rsidR="00D47FB6" w:rsidRPr="00D47FB6" w:rsidRDefault="00D47FB6" w:rsidP="00D47FB6">
      <w:pPr>
        <w:widowControl w:val="0"/>
        <w:snapToGrid w:val="0"/>
        <w:spacing w:line="520" w:lineRule="exact"/>
        <w:ind w:firstLineChars="200" w:firstLine="480"/>
        <w:jc w:val="both"/>
        <w:rPr>
          <w:rFonts w:ascii="Verdana" w:eastAsia="华文细黑" w:hAnsi="Verdana" w:cs="仿宋"/>
        </w:rPr>
      </w:pPr>
      <w:r w:rsidRPr="00D47FB6">
        <w:rPr>
          <w:rFonts w:ascii="Verdana" w:eastAsia="华文细黑" w:hAnsi="Verdana" w:cs="仿宋"/>
        </w:rPr>
        <w:t>2022</w:t>
      </w:r>
      <w:r w:rsidRPr="00D47FB6">
        <w:rPr>
          <w:rFonts w:ascii="Verdana" w:eastAsia="华文细黑" w:hAnsi="Verdana" w:cs="仿宋" w:hint="eastAsia"/>
        </w:rPr>
        <w:t>年</w:t>
      </w:r>
      <w:r w:rsidRPr="00D47FB6">
        <w:rPr>
          <w:rFonts w:ascii="Verdana" w:eastAsia="华文细黑" w:hAnsi="Verdana" w:cs="仿宋"/>
        </w:rPr>
        <w:t>8</w:t>
      </w:r>
      <w:r w:rsidRPr="00D47FB6">
        <w:rPr>
          <w:rFonts w:ascii="Verdana" w:eastAsia="华文细黑" w:hAnsi="Verdana" w:cs="仿宋" w:hint="eastAsia"/>
        </w:rPr>
        <w:t>月</w:t>
      </w:r>
      <w:r w:rsidRPr="00D47FB6">
        <w:rPr>
          <w:rFonts w:ascii="Verdana" w:eastAsia="华文细黑" w:hAnsi="Verdana" w:cs="仿宋"/>
        </w:rPr>
        <w:t>11</w:t>
      </w:r>
      <w:r w:rsidRPr="00D47FB6">
        <w:rPr>
          <w:rFonts w:ascii="Verdana" w:eastAsia="华文细黑" w:hAnsi="Verdana" w:cs="仿宋" w:hint="eastAsia"/>
        </w:rPr>
        <w:t>日，三亚市发展和改革委员会</w:t>
      </w:r>
      <w:proofErr w:type="gramStart"/>
      <w:r w:rsidRPr="00D47FB6">
        <w:rPr>
          <w:rFonts w:ascii="Verdana" w:eastAsia="华文细黑" w:hAnsi="Verdana" w:cs="仿宋" w:hint="eastAsia"/>
        </w:rPr>
        <w:t>作出</w:t>
      </w:r>
      <w:proofErr w:type="gramEnd"/>
      <w:r w:rsidRPr="00D47FB6">
        <w:rPr>
          <w:rFonts w:ascii="Verdana" w:eastAsia="华文细黑" w:hAnsi="Verdana" w:cs="仿宋" w:hint="eastAsia"/>
        </w:rPr>
        <w:t>《关于三亚市抱坡溪东片区排水管网提质增效工程初步设计及概算的批复》（三发改投</w:t>
      </w:r>
      <w:r w:rsidR="003A71E5" w:rsidRPr="003A71E5">
        <w:rPr>
          <w:rFonts w:ascii="Verdana" w:eastAsia="华文细黑" w:hAnsi="Verdana" w:cs="仿宋" w:hint="eastAsia"/>
        </w:rPr>
        <w:t>〔</w:t>
      </w:r>
      <w:r w:rsidRPr="00D47FB6">
        <w:rPr>
          <w:rFonts w:ascii="Verdana" w:eastAsia="华文细黑" w:hAnsi="Verdana" w:cs="仿宋"/>
        </w:rPr>
        <w:t>2022</w:t>
      </w:r>
      <w:bookmarkStart w:id="47" w:name="_Hlk183179154"/>
      <w:r w:rsidR="003A71E5" w:rsidRPr="003A71E5">
        <w:rPr>
          <w:rFonts w:ascii="Verdana" w:eastAsia="华文细黑" w:hAnsi="Verdana" w:cs="仿宋" w:hint="eastAsia"/>
        </w:rPr>
        <w:t>〕</w:t>
      </w:r>
      <w:bookmarkEnd w:id="47"/>
      <w:r w:rsidRPr="00D47FB6">
        <w:rPr>
          <w:rFonts w:ascii="Verdana" w:eastAsia="华文细黑" w:hAnsi="Verdana" w:cs="仿宋"/>
        </w:rPr>
        <w:t>238</w:t>
      </w:r>
      <w:r w:rsidRPr="00D47FB6">
        <w:rPr>
          <w:rFonts w:ascii="Verdana" w:eastAsia="华文细黑" w:hAnsi="Verdana" w:cs="仿宋" w:hint="eastAsia"/>
        </w:rPr>
        <w:t>号）；</w:t>
      </w:r>
    </w:p>
    <w:p w14:paraId="00001532" w14:textId="77777777" w:rsidR="000C7D9A" w:rsidRDefault="00D47FB6" w:rsidP="00AD66F6">
      <w:pPr>
        <w:widowControl w:val="0"/>
        <w:snapToGrid w:val="0"/>
        <w:spacing w:line="520" w:lineRule="exact"/>
        <w:ind w:firstLineChars="200" w:firstLine="480"/>
        <w:jc w:val="both"/>
        <w:rPr>
          <w:rFonts w:ascii="Verdana" w:eastAsia="华文细黑" w:hAnsi="Verdana" w:cs="仿宋"/>
        </w:rPr>
      </w:pPr>
      <w:r w:rsidRPr="00D47FB6">
        <w:rPr>
          <w:rFonts w:ascii="Verdana" w:eastAsia="华文细黑" w:hAnsi="Verdana" w:cs="仿宋"/>
        </w:rPr>
        <w:t>2022</w:t>
      </w:r>
      <w:r w:rsidRPr="00D47FB6">
        <w:rPr>
          <w:rFonts w:ascii="Verdana" w:eastAsia="华文细黑" w:hAnsi="Verdana" w:cs="仿宋" w:hint="eastAsia"/>
        </w:rPr>
        <w:t>年</w:t>
      </w:r>
      <w:r w:rsidRPr="00D47FB6">
        <w:rPr>
          <w:rFonts w:ascii="Verdana" w:eastAsia="华文细黑" w:hAnsi="Verdana" w:cs="仿宋"/>
        </w:rPr>
        <w:t>9</w:t>
      </w:r>
      <w:r w:rsidRPr="00D47FB6">
        <w:rPr>
          <w:rFonts w:ascii="Verdana" w:eastAsia="华文细黑" w:hAnsi="Verdana" w:cs="仿宋" w:hint="eastAsia"/>
        </w:rPr>
        <w:t>月</w:t>
      </w:r>
      <w:r w:rsidRPr="00D47FB6">
        <w:rPr>
          <w:rFonts w:ascii="Verdana" w:eastAsia="华文细黑" w:hAnsi="Verdana" w:cs="仿宋"/>
        </w:rPr>
        <w:t>18</w:t>
      </w:r>
      <w:r w:rsidRPr="00D47FB6">
        <w:rPr>
          <w:rFonts w:ascii="Verdana" w:eastAsia="华文细黑" w:hAnsi="Verdana" w:cs="仿宋" w:hint="eastAsia"/>
        </w:rPr>
        <w:t>日，三亚市投资评审中心</w:t>
      </w:r>
      <w:proofErr w:type="gramStart"/>
      <w:r w:rsidRPr="00D47FB6">
        <w:rPr>
          <w:rFonts w:ascii="Verdana" w:eastAsia="华文细黑" w:hAnsi="Verdana" w:cs="仿宋" w:hint="eastAsia"/>
        </w:rPr>
        <w:t>作出</w:t>
      </w:r>
      <w:proofErr w:type="gramEnd"/>
      <w:r w:rsidRPr="00D47FB6">
        <w:rPr>
          <w:rFonts w:ascii="Verdana" w:eastAsia="华文细黑" w:hAnsi="Verdana" w:cs="仿宋" w:hint="eastAsia"/>
        </w:rPr>
        <w:t>《三亚市抱坡溪东片区排水管网提质增效工程预算审核结论书》（</w:t>
      </w:r>
      <w:proofErr w:type="gramStart"/>
      <w:r w:rsidRPr="00D47FB6">
        <w:rPr>
          <w:rFonts w:ascii="Verdana" w:eastAsia="华文细黑" w:hAnsi="Verdana" w:cs="仿宋" w:hint="eastAsia"/>
        </w:rPr>
        <w:t>三财评</w:t>
      </w:r>
      <w:bookmarkStart w:id="48" w:name="_Hlk183189339"/>
      <w:proofErr w:type="gramEnd"/>
      <w:r w:rsidR="003A71E5" w:rsidRPr="003A71E5">
        <w:rPr>
          <w:rFonts w:ascii="Verdana" w:eastAsia="华文细黑" w:hAnsi="Verdana" w:cs="仿宋" w:hint="eastAsia"/>
        </w:rPr>
        <w:t>〔</w:t>
      </w:r>
      <w:bookmarkEnd w:id="48"/>
      <w:r w:rsidRPr="00D47FB6">
        <w:rPr>
          <w:rFonts w:ascii="Verdana" w:eastAsia="华文细黑" w:hAnsi="Verdana" w:cs="仿宋"/>
        </w:rPr>
        <w:t>2022</w:t>
      </w:r>
      <w:r w:rsidR="003A71E5" w:rsidRPr="003A71E5">
        <w:rPr>
          <w:rFonts w:ascii="Verdana" w:eastAsia="华文细黑" w:hAnsi="Verdana" w:cs="仿宋" w:hint="eastAsia"/>
        </w:rPr>
        <w:t>〕</w:t>
      </w:r>
      <w:r w:rsidRPr="00D47FB6">
        <w:rPr>
          <w:rFonts w:ascii="Verdana" w:eastAsia="华文细黑" w:hAnsi="Verdana" w:cs="仿宋"/>
        </w:rPr>
        <w:t>137</w:t>
      </w:r>
      <w:r w:rsidRPr="00D47FB6">
        <w:rPr>
          <w:rFonts w:ascii="Verdana" w:eastAsia="华文细黑" w:hAnsi="Verdana" w:cs="仿宋" w:hint="eastAsia"/>
        </w:rPr>
        <w:t>号）</w:t>
      </w:r>
      <w:r w:rsidR="000C7D9A">
        <w:rPr>
          <w:rFonts w:ascii="Verdana" w:eastAsia="华文细黑" w:hAnsi="Verdana" w:cs="仿宋" w:hint="eastAsia"/>
        </w:rPr>
        <w:t>；</w:t>
      </w:r>
    </w:p>
    <w:p w14:paraId="5CFCDBF5" w14:textId="6061B324" w:rsidR="000C7D9A" w:rsidRPr="000C7D9A" w:rsidRDefault="000C7D9A" w:rsidP="000C7D9A">
      <w:pPr>
        <w:widowControl w:val="0"/>
        <w:snapToGrid w:val="0"/>
        <w:spacing w:line="520" w:lineRule="exact"/>
        <w:ind w:firstLineChars="200" w:firstLine="480"/>
        <w:jc w:val="both"/>
        <w:rPr>
          <w:rFonts w:ascii="Verdana" w:eastAsia="华文细黑" w:hAnsi="Verdana" w:cs="仿宋"/>
        </w:rPr>
      </w:pPr>
      <w:r w:rsidRPr="000C7D9A">
        <w:rPr>
          <w:rFonts w:ascii="Verdana" w:eastAsia="华文细黑" w:hAnsi="Verdana" w:cs="仿宋"/>
        </w:rPr>
        <w:lastRenderedPageBreak/>
        <w:t>2018</w:t>
      </w:r>
      <w:r w:rsidRPr="000C7D9A">
        <w:rPr>
          <w:rFonts w:ascii="Verdana" w:eastAsia="华文细黑" w:hAnsi="Verdana" w:cs="仿宋" w:hint="eastAsia"/>
        </w:rPr>
        <w:t>年</w:t>
      </w:r>
      <w:r w:rsidRPr="000C7D9A">
        <w:rPr>
          <w:rFonts w:ascii="Verdana" w:eastAsia="华文细黑" w:hAnsi="Verdana" w:cs="仿宋"/>
        </w:rPr>
        <w:t>10</w:t>
      </w:r>
      <w:r w:rsidRPr="000C7D9A">
        <w:rPr>
          <w:rFonts w:ascii="Verdana" w:eastAsia="华文细黑" w:hAnsi="Verdana" w:cs="仿宋" w:hint="eastAsia"/>
        </w:rPr>
        <w:t>月</w:t>
      </w:r>
      <w:r w:rsidRPr="000C7D9A">
        <w:rPr>
          <w:rFonts w:ascii="Verdana" w:eastAsia="华文细黑" w:hAnsi="Verdana" w:cs="仿宋"/>
        </w:rPr>
        <w:t>10</w:t>
      </w:r>
      <w:r w:rsidRPr="000C7D9A">
        <w:rPr>
          <w:rFonts w:ascii="Verdana" w:eastAsia="华文细黑" w:hAnsi="Verdana" w:cs="仿宋" w:hint="eastAsia"/>
        </w:rPr>
        <w:t>日，三亚市发展和改革委员会</w:t>
      </w:r>
      <w:proofErr w:type="gramStart"/>
      <w:r w:rsidRPr="000C7D9A">
        <w:rPr>
          <w:rFonts w:ascii="Verdana" w:eastAsia="华文细黑" w:hAnsi="Verdana" w:cs="仿宋" w:hint="eastAsia"/>
        </w:rPr>
        <w:t>作出</w:t>
      </w:r>
      <w:proofErr w:type="gramEnd"/>
      <w:r w:rsidRPr="000C7D9A">
        <w:rPr>
          <w:rFonts w:ascii="Verdana" w:eastAsia="华文细黑" w:hAnsi="Verdana" w:cs="仿宋" w:hint="eastAsia"/>
        </w:rPr>
        <w:t>《关于三亚市棕榈滩污水主干管疏通清理、修复及压力管建设工程立项的批复》（三发改投〔</w:t>
      </w:r>
      <w:r w:rsidRPr="000C7D9A">
        <w:rPr>
          <w:rFonts w:ascii="Verdana" w:eastAsia="华文细黑" w:hAnsi="Verdana" w:cs="仿宋"/>
        </w:rPr>
        <w:t>2018</w:t>
      </w:r>
      <w:r w:rsidRPr="000C7D9A">
        <w:rPr>
          <w:rFonts w:ascii="Verdana" w:eastAsia="华文细黑" w:hAnsi="Verdana" w:cs="仿宋" w:hint="eastAsia"/>
        </w:rPr>
        <w:t>〕</w:t>
      </w:r>
      <w:r w:rsidRPr="000C7D9A">
        <w:rPr>
          <w:rFonts w:ascii="Verdana" w:eastAsia="华文细黑" w:hAnsi="Verdana" w:cs="仿宋"/>
        </w:rPr>
        <w:t>566</w:t>
      </w:r>
      <w:r w:rsidRPr="000C7D9A">
        <w:rPr>
          <w:rFonts w:ascii="Verdana" w:eastAsia="华文细黑" w:hAnsi="Verdana" w:cs="仿宋" w:hint="eastAsia"/>
        </w:rPr>
        <w:t>号）；</w:t>
      </w:r>
    </w:p>
    <w:p w14:paraId="6B8F3771" w14:textId="151C7409" w:rsidR="000C7D9A" w:rsidRPr="000C7D9A" w:rsidRDefault="000C7D9A" w:rsidP="000C7D9A">
      <w:pPr>
        <w:widowControl w:val="0"/>
        <w:snapToGrid w:val="0"/>
        <w:spacing w:line="520" w:lineRule="exact"/>
        <w:ind w:firstLineChars="200" w:firstLine="480"/>
        <w:jc w:val="both"/>
        <w:rPr>
          <w:rFonts w:ascii="Verdana" w:eastAsia="华文细黑" w:hAnsi="Verdana" w:cs="仿宋"/>
        </w:rPr>
      </w:pPr>
      <w:r w:rsidRPr="000C7D9A">
        <w:rPr>
          <w:rFonts w:ascii="Verdana" w:eastAsia="华文细黑" w:hAnsi="Verdana" w:cs="仿宋"/>
        </w:rPr>
        <w:t>2019</w:t>
      </w:r>
      <w:r w:rsidRPr="000C7D9A">
        <w:rPr>
          <w:rFonts w:ascii="Verdana" w:eastAsia="华文细黑" w:hAnsi="Verdana" w:cs="仿宋" w:hint="eastAsia"/>
        </w:rPr>
        <w:t>年</w:t>
      </w:r>
      <w:r w:rsidRPr="000C7D9A">
        <w:rPr>
          <w:rFonts w:ascii="Verdana" w:eastAsia="华文细黑" w:hAnsi="Verdana" w:cs="仿宋"/>
        </w:rPr>
        <w:t>9</w:t>
      </w:r>
      <w:r w:rsidRPr="000C7D9A">
        <w:rPr>
          <w:rFonts w:ascii="Verdana" w:eastAsia="华文细黑" w:hAnsi="Verdana" w:cs="仿宋" w:hint="eastAsia"/>
        </w:rPr>
        <w:t>月</w:t>
      </w:r>
      <w:r w:rsidRPr="000C7D9A">
        <w:rPr>
          <w:rFonts w:ascii="Verdana" w:eastAsia="华文细黑" w:hAnsi="Verdana" w:cs="仿宋"/>
        </w:rPr>
        <w:t>2</w:t>
      </w:r>
      <w:r w:rsidRPr="000C7D9A">
        <w:rPr>
          <w:rFonts w:ascii="Verdana" w:eastAsia="华文细黑" w:hAnsi="Verdana" w:cs="仿宋" w:hint="eastAsia"/>
        </w:rPr>
        <w:t>日，三亚市发展和改革委员会</w:t>
      </w:r>
      <w:proofErr w:type="gramStart"/>
      <w:r w:rsidRPr="000C7D9A">
        <w:rPr>
          <w:rFonts w:ascii="Verdana" w:eastAsia="华文细黑" w:hAnsi="Verdana" w:cs="仿宋" w:hint="eastAsia"/>
        </w:rPr>
        <w:t>作出</w:t>
      </w:r>
      <w:proofErr w:type="gramEnd"/>
      <w:r w:rsidRPr="000C7D9A">
        <w:rPr>
          <w:rFonts w:ascii="Verdana" w:eastAsia="华文细黑" w:hAnsi="Verdana" w:cs="仿宋" w:hint="eastAsia"/>
        </w:rPr>
        <w:t>《关于三亚市棕榈滩污水主干管疏通清理、修复及压力管建设工程初步设计及概算的批复》（三发改投</w:t>
      </w:r>
      <w:r w:rsidRPr="003A71E5">
        <w:rPr>
          <w:rFonts w:ascii="Verdana" w:eastAsia="华文细黑" w:hAnsi="Verdana" w:cs="仿宋" w:hint="eastAsia"/>
        </w:rPr>
        <w:t>〔</w:t>
      </w:r>
      <w:r w:rsidRPr="000C7D9A">
        <w:rPr>
          <w:rFonts w:ascii="Verdana" w:eastAsia="华文细黑" w:hAnsi="Verdana" w:cs="仿宋"/>
        </w:rPr>
        <w:t>2019</w:t>
      </w:r>
      <w:r w:rsidRPr="000C7D9A">
        <w:rPr>
          <w:rFonts w:ascii="Verdana" w:eastAsia="华文细黑" w:hAnsi="Verdana" w:cs="仿宋" w:hint="eastAsia"/>
        </w:rPr>
        <w:t>〕</w:t>
      </w:r>
      <w:r w:rsidRPr="000C7D9A">
        <w:rPr>
          <w:rFonts w:ascii="Verdana" w:eastAsia="华文细黑" w:hAnsi="Verdana" w:cs="仿宋"/>
        </w:rPr>
        <w:t>317</w:t>
      </w:r>
      <w:r w:rsidRPr="000C7D9A">
        <w:rPr>
          <w:rFonts w:ascii="Verdana" w:eastAsia="华文细黑" w:hAnsi="Verdana" w:cs="仿宋" w:hint="eastAsia"/>
        </w:rPr>
        <w:t>号）；</w:t>
      </w:r>
    </w:p>
    <w:p w14:paraId="472C9B93" w14:textId="6749C759" w:rsidR="00067586" w:rsidRPr="007072FB" w:rsidRDefault="000C7D9A" w:rsidP="00AD66F6">
      <w:pPr>
        <w:widowControl w:val="0"/>
        <w:snapToGrid w:val="0"/>
        <w:spacing w:line="520" w:lineRule="exact"/>
        <w:ind w:firstLineChars="200" w:firstLine="480"/>
        <w:jc w:val="both"/>
        <w:rPr>
          <w:rFonts w:ascii="Verdana" w:eastAsia="华文细黑" w:hAnsi="Verdana" w:cs="仿宋"/>
        </w:rPr>
      </w:pPr>
      <w:r w:rsidRPr="000C7D9A">
        <w:rPr>
          <w:rFonts w:ascii="Verdana" w:eastAsia="华文细黑" w:hAnsi="Verdana" w:cs="仿宋"/>
        </w:rPr>
        <w:t>2019</w:t>
      </w:r>
      <w:r w:rsidRPr="000C7D9A">
        <w:rPr>
          <w:rFonts w:ascii="Verdana" w:eastAsia="华文细黑" w:hAnsi="Verdana" w:cs="仿宋" w:hint="eastAsia"/>
        </w:rPr>
        <w:t>年</w:t>
      </w:r>
      <w:r w:rsidRPr="000C7D9A">
        <w:rPr>
          <w:rFonts w:ascii="Verdana" w:eastAsia="华文细黑" w:hAnsi="Verdana" w:cs="仿宋"/>
        </w:rPr>
        <w:t>10</w:t>
      </w:r>
      <w:r w:rsidRPr="000C7D9A">
        <w:rPr>
          <w:rFonts w:ascii="Verdana" w:eastAsia="华文细黑" w:hAnsi="Verdana" w:cs="仿宋" w:hint="eastAsia"/>
        </w:rPr>
        <w:t>月</w:t>
      </w:r>
      <w:r w:rsidRPr="000C7D9A">
        <w:rPr>
          <w:rFonts w:ascii="Verdana" w:eastAsia="华文细黑" w:hAnsi="Verdana" w:cs="仿宋"/>
        </w:rPr>
        <w:t>25</w:t>
      </w:r>
      <w:r w:rsidRPr="000C7D9A">
        <w:rPr>
          <w:rFonts w:ascii="Verdana" w:eastAsia="华文细黑" w:hAnsi="Verdana" w:cs="仿宋" w:hint="eastAsia"/>
        </w:rPr>
        <w:t>日，三亚市投资评审中心</w:t>
      </w:r>
      <w:proofErr w:type="gramStart"/>
      <w:r w:rsidRPr="000C7D9A">
        <w:rPr>
          <w:rFonts w:ascii="Verdana" w:eastAsia="华文细黑" w:hAnsi="Verdana" w:cs="仿宋" w:hint="eastAsia"/>
        </w:rPr>
        <w:t>作出</w:t>
      </w:r>
      <w:proofErr w:type="gramEnd"/>
      <w:r w:rsidRPr="000C7D9A">
        <w:rPr>
          <w:rFonts w:ascii="Verdana" w:eastAsia="华文细黑" w:hAnsi="Verdana" w:cs="仿宋" w:hint="eastAsia"/>
        </w:rPr>
        <w:t>《三亚市棕榈滩污水主干管疏通清理、修复及压力管建设工程预算审核结论书》（</w:t>
      </w:r>
      <w:proofErr w:type="gramStart"/>
      <w:r w:rsidRPr="000C7D9A">
        <w:rPr>
          <w:rFonts w:ascii="Verdana" w:eastAsia="华文细黑" w:hAnsi="Verdana" w:cs="仿宋" w:hint="eastAsia"/>
        </w:rPr>
        <w:t>三财评</w:t>
      </w:r>
      <w:proofErr w:type="gramEnd"/>
      <w:r w:rsidRPr="003A71E5">
        <w:rPr>
          <w:rFonts w:ascii="Verdana" w:eastAsia="华文细黑" w:hAnsi="Verdana" w:cs="仿宋" w:hint="eastAsia"/>
        </w:rPr>
        <w:t>〔</w:t>
      </w:r>
      <w:r w:rsidRPr="000C7D9A">
        <w:rPr>
          <w:rFonts w:ascii="Verdana" w:eastAsia="华文细黑" w:hAnsi="Verdana" w:cs="仿宋"/>
        </w:rPr>
        <w:t>2019</w:t>
      </w:r>
      <w:r w:rsidRPr="000C7D9A">
        <w:rPr>
          <w:rFonts w:ascii="Verdana" w:eastAsia="华文细黑" w:hAnsi="Verdana" w:cs="仿宋" w:hint="eastAsia"/>
        </w:rPr>
        <w:t>〕</w:t>
      </w:r>
      <w:r w:rsidRPr="000C7D9A">
        <w:rPr>
          <w:rFonts w:ascii="Verdana" w:eastAsia="华文细黑" w:hAnsi="Verdana" w:cs="仿宋"/>
        </w:rPr>
        <w:t>297</w:t>
      </w:r>
      <w:r w:rsidRPr="000C7D9A">
        <w:rPr>
          <w:rFonts w:ascii="Verdana" w:eastAsia="华文细黑" w:hAnsi="Verdana" w:cs="仿宋" w:hint="eastAsia"/>
        </w:rPr>
        <w:t>号）</w:t>
      </w:r>
      <w:r w:rsidR="00D47FB6">
        <w:rPr>
          <w:rFonts w:ascii="Verdana" w:eastAsia="华文细黑" w:hAnsi="Verdana" w:cs="仿宋" w:hint="eastAsia"/>
        </w:rPr>
        <w:t>。</w:t>
      </w:r>
    </w:p>
    <w:p w14:paraId="127D7749" w14:textId="0AFA70B6" w:rsidR="000D1B9A" w:rsidRPr="007072FB" w:rsidRDefault="00000000" w:rsidP="003C3C26">
      <w:pPr>
        <w:widowControl w:val="0"/>
        <w:snapToGrid w:val="0"/>
        <w:spacing w:line="520" w:lineRule="exact"/>
        <w:ind w:firstLineChars="200" w:firstLine="480"/>
        <w:jc w:val="both"/>
        <w:rPr>
          <w:rFonts w:ascii="Verdana" w:eastAsia="华文细黑" w:hAnsi="Verdana" w:cs="仿宋"/>
        </w:rPr>
      </w:pPr>
      <w:r w:rsidRPr="007072FB">
        <w:rPr>
          <w:rFonts w:ascii="Verdana" w:eastAsia="华文细黑" w:hAnsi="Verdana" w:cs="仿宋"/>
        </w:rPr>
        <w:t>为保障本项目合理融资需求，按照《中华人民共和国预算法》（</w:t>
      </w:r>
      <w:r w:rsidRPr="007072FB">
        <w:rPr>
          <w:rFonts w:ascii="Verdana" w:eastAsia="华文细黑" w:hAnsi="Verdana" w:cs="仿宋"/>
        </w:rPr>
        <w:t>2018</w:t>
      </w:r>
      <w:r w:rsidRPr="007072FB">
        <w:rPr>
          <w:rFonts w:ascii="Verdana" w:eastAsia="华文细黑" w:hAnsi="Verdana" w:cs="仿宋"/>
        </w:rPr>
        <w:t>年修订）、《国务院关于加强地方政府性债务管理的意见》（国发〔</w:t>
      </w:r>
      <w:r w:rsidRPr="007072FB">
        <w:rPr>
          <w:rFonts w:ascii="Verdana" w:eastAsia="华文细黑" w:hAnsi="Verdana" w:cs="仿宋"/>
        </w:rPr>
        <w:t>2014</w:t>
      </w:r>
      <w:r w:rsidRPr="007072FB">
        <w:rPr>
          <w:rFonts w:ascii="Verdana" w:eastAsia="华文细黑" w:hAnsi="Verdana" w:cs="仿宋"/>
        </w:rPr>
        <w:t>〕</w:t>
      </w:r>
      <w:r w:rsidRPr="007072FB">
        <w:rPr>
          <w:rFonts w:ascii="Verdana" w:eastAsia="华文细黑" w:hAnsi="Verdana" w:cs="仿宋"/>
        </w:rPr>
        <w:t>43</w:t>
      </w:r>
      <w:r w:rsidRPr="007072FB">
        <w:rPr>
          <w:rFonts w:ascii="Verdana" w:eastAsia="华文细黑" w:hAnsi="Verdana" w:cs="仿宋"/>
        </w:rPr>
        <w:t>号）、《关于做好</w:t>
      </w:r>
      <w:r w:rsidRPr="007072FB">
        <w:rPr>
          <w:rFonts w:ascii="Verdana" w:eastAsia="华文细黑" w:hAnsi="Verdana" w:cs="仿宋"/>
        </w:rPr>
        <w:t>2018</w:t>
      </w:r>
      <w:r w:rsidRPr="007072FB">
        <w:rPr>
          <w:rFonts w:ascii="Verdana" w:eastAsia="华文细黑" w:hAnsi="Verdana" w:cs="仿宋"/>
        </w:rPr>
        <w:t>年地方政府债券发行工作的意见》（财库〔</w:t>
      </w:r>
      <w:r w:rsidRPr="007072FB">
        <w:rPr>
          <w:rFonts w:ascii="Verdana" w:eastAsia="华文细黑" w:hAnsi="Verdana" w:cs="仿宋"/>
        </w:rPr>
        <w:t>2018</w:t>
      </w:r>
      <w:r w:rsidRPr="007072FB">
        <w:rPr>
          <w:rFonts w:ascii="Verdana" w:eastAsia="华文细黑" w:hAnsi="Verdana" w:cs="仿宋"/>
        </w:rPr>
        <w:t>〕</w:t>
      </w:r>
      <w:r w:rsidRPr="007072FB">
        <w:rPr>
          <w:rFonts w:ascii="Verdana" w:eastAsia="华文细黑" w:hAnsi="Verdana" w:cs="仿宋"/>
        </w:rPr>
        <w:t>61</w:t>
      </w:r>
      <w:r w:rsidRPr="007072FB">
        <w:rPr>
          <w:rFonts w:ascii="Verdana" w:eastAsia="华文细黑" w:hAnsi="Verdana" w:cs="仿宋"/>
        </w:rPr>
        <w:t>号）等文件精神，结合本项目建设计划和三亚市</w:t>
      </w:r>
      <w:r w:rsidR="00AE5901" w:rsidRPr="007072FB">
        <w:rPr>
          <w:rFonts w:ascii="Verdana" w:eastAsia="华文细黑" w:hAnsi="Verdana" w:cs="仿宋"/>
        </w:rPr>
        <w:t>2024</w:t>
      </w:r>
      <w:r w:rsidRPr="007072FB">
        <w:rPr>
          <w:rFonts w:ascii="Verdana" w:eastAsia="华文细黑" w:hAnsi="Verdana" w:cs="仿宋"/>
        </w:rPr>
        <w:t>年发债计划，</w:t>
      </w:r>
      <w:r w:rsidR="00AD53BA" w:rsidRPr="00AD53BA">
        <w:rPr>
          <w:rFonts w:ascii="Verdana" w:eastAsia="华文细黑" w:hAnsi="Verdana" w:cs="仿宋" w:hint="eastAsia"/>
        </w:rPr>
        <w:t>三亚市政府决定将部分已发行项目的债券资金调剂至本项目</w:t>
      </w:r>
      <w:r w:rsidRPr="007072FB">
        <w:rPr>
          <w:rFonts w:ascii="Verdana" w:eastAsia="华文细黑" w:hAnsi="Verdana" w:cs="仿宋"/>
        </w:rPr>
        <w:t>，以满足三亚市基础设施建设的融资需求。</w:t>
      </w:r>
    </w:p>
    <w:p w14:paraId="7255F146" w14:textId="147185F7" w:rsidR="000D1B9A" w:rsidRPr="007072FB" w:rsidRDefault="00000000">
      <w:pPr>
        <w:spacing w:before="120" w:after="120" w:line="360" w:lineRule="auto"/>
        <w:jc w:val="both"/>
        <w:outlineLvl w:val="0"/>
        <w:rPr>
          <w:rFonts w:ascii="Verdana" w:eastAsia="华文细黑" w:hAnsi="Verdana" w:cs="Calibri"/>
          <w:b/>
          <w:sz w:val="32"/>
          <w:szCs w:val="32"/>
        </w:rPr>
      </w:pPr>
      <w:bookmarkStart w:id="49" w:name="_Toc21547469"/>
      <w:bookmarkStart w:id="50" w:name="_Toc523758994"/>
      <w:bookmarkStart w:id="51" w:name="_Toc523219305"/>
      <w:bookmarkStart w:id="52" w:name="_Toc523219212"/>
      <w:bookmarkStart w:id="53" w:name="_Toc523219214"/>
      <w:bookmarkStart w:id="54" w:name="_Toc522562113"/>
      <w:bookmarkStart w:id="55" w:name="_Toc522562110"/>
      <w:bookmarkStart w:id="56" w:name="_Toc522983414"/>
      <w:bookmarkStart w:id="57" w:name="_Toc522983417"/>
      <w:bookmarkStart w:id="58" w:name="_Toc522562161"/>
      <w:bookmarkStart w:id="59" w:name="_Toc523219303"/>
      <w:bookmarkStart w:id="60" w:name="_Toc523219216"/>
      <w:bookmarkStart w:id="61" w:name="_Toc523219301"/>
      <w:bookmarkStart w:id="62" w:name="_Toc522562164"/>
      <w:bookmarkStart w:id="63" w:name="_Toc135044144"/>
      <w:bookmarkEnd w:id="46"/>
      <w:bookmarkEnd w:id="49"/>
      <w:bookmarkEnd w:id="50"/>
      <w:bookmarkEnd w:id="51"/>
      <w:bookmarkEnd w:id="52"/>
      <w:bookmarkEnd w:id="53"/>
      <w:bookmarkEnd w:id="54"/>
      <w:bookmarkEnd w:id="55"/>
      <w:bookmarkEnd w:id="56"/>
      <w:bookmarkEnd w:id="57"/>
      <w:bookmarkEnd w:id="58"/>
      <w:bookmarkEnd w:id="59"/>
      <w:bookmarkEnd w:id="60"/>
      <w:bookmarkEnd w:id="61"/>
      <w:bookmarkEnd w:id="62"/>
      <w:r w:rsidRPr="007072FB">
        <w:rPr>
          <w:rFonts w:ascii="Verdana" w:eastAsia="华文细黑" w:hAnsi="Verdana" w:cs="Calibri"/>
          <w:b/>
          <w:sz w:val="32"/>
          <w:szCs w:val="32"/>
        </w:rPr>
        <w:t>三、评</w:t>
      </w:r>
      <w:r w:rsidR="008A23DA">
        <w:rPr>
          <w:rFonts w:ascii="Verdana" w:eastAsia="华文细黑" w:hAnsi="Verdana" w:cs="Calibri" w:hint="eastAsia"/>
          <w:b/>
          <w:sz w:val="32"/>
          <w:szCs w:val="32"/>
        </w:rPr>
        <w:t>价</w:t>
      </w:r>
      <w:r w:rsidRPr="007072FB">
        <w:rPr>
          <w:rFonts w:ascii="Verdana" w:eastAsia="华文细黑" w:hAnsi="Verdana" w:cs="Calibri"/>
          <w:b/>
          <w:sz w:val="32"/>
          <w:szCs w:val="32"/>
        </w:rPr>
        <w:t>要素</w:t>
      </w:r>
      <w:bookmarkEnd w:id="63"/>
    </w:p>
    <w:p w14:paraId="66160EC0" w14:textId="77777777" w:rsidR="000D1B9A" w:rsidRPr="007072FB" w:rsidRDefault="00000000">
      <w:pPr>
        <w:spacing w:before="120" w:after="120" w:line="360" w:lineRule="auto"/>
        <w:ind w:firstLine="510"/>
        <w:jc w:val="both"/>
        <w:rPr>
          <w:rFonts w:ascii="Verdana" w:eastAsia="华文细黑" w:hAnsi="Verdana" w:cs="Calibri"/>
          <w:color w:val="000000"/>
        </w:rPr>
      </w:pPr>
      <w:r w:rsidRPr="007072FB">
        <w:rPr>
          <w:rFonts w:ascii="Verdana" w:eastAsia="华文细黑" w:hAnsi="Verdana" w:cs="Calibri"/>
          <w:color w:val="000000"/>
        </w:rPr>
        <w:t>2017</w:t>
      </w:r>
      <w:r w:rsidRPr="007072FB">
        <w:rPr>
          <w:rFonts w:ascii="Verdana" w:eastAsia="华文细黑" w:hAnsi="Verdana" w:cs="Calibri"/>
          <w:color w:val="000000"/>
        </w:rPr>
        <w:t>年财政部公布《关于试点发展项目收益与融资自求平衡的地方政府专项债券品种的通知》（财预〔</w:t>
      </w:r>
      <w:r w:rsidRPr="007072FB">
        <w:rPr>
          <w:rFonts w:ascii="Verdana" w:eastAsia="华文细黑" w:hAnsi="Verdana" w:cs="Calibri"/>
          <w:color w:val="000000"/>
        </w:rPr>
        <w:t>2017</w:t>
      </w:r>
      <w:r w:rsidRPr="007072FB">
        <w:rPr>
          <w:rFonts w:ascii="Verdana" w:eastAsia="华文细黑" w:hAnsi="Verdana" w:cs="Calibri"/>
          <w:color w:val="000000"/>
        </w:rPr>
        <w:t>〕</w:t>
      </w:r>
      <w:r w:rsidRPr="007072FB">
        <w:rPr>
          <w:rFonts w:ascii="Verdana" w:eastAsia="华文细黑" w:hAnsi="Verdana" w:cs="Calibri"/>
          <w:color w:val="000000"/>
        </w:rPr>
        <w:t>89</w:t>
      </w:r>
      <w:r w:rsidRPr="007072FB">
        <w:rPr>
          <w:rFonts w:ascii="Verdana" w:eastAsia="华文细黑" w:hAnsi="Verdana" w:cs="Calibri"/>
          <w:color w:val="000000"/>
        </w:rPr>
        <w:t>号），提出在法定专项债务限额内，各地方按照本地区政府性基金收入项目分类发行专项债券，着力发展实现项目收益与融资自求平衡的专项债券品种。</w:t>
      </w:r>
      <w:r w:rsidRPr="007072FB">
        <w:rPr>
          <w:rFonts w:ascii="Verdana" w:eastAsia="华文细黑" w:hAnsi="Verdana" w:cs="Calibri"/>
          <w:color w:val="000000"/>
        </w:rPr>
        <w:t>2018</w:t>
      </w:r>
      <w:r w:rsidRPr="007072FB">
        <w:rPr>
          <w:rFonts w:ascii="Verdana" w:eastAsia="华文细黑" w:hAnsi="Verdana" w:cs="Calibri"/>
          <w:color w:val="000000"/>
        </w:rPr>
        <w:t>年财政部公布《关于做好</w:t>
      </w:r>
      <w:r w:rsidRPr="007072FB">
        <w:rPr>
          <w:rFonts w:ascii="Verdana" w:eastAsia="华文细黑" w:hAnsi="Verdana" w:cs="Calibri"/>
          <w:color w:val="000000"/>
        </w:rPr>
        <w:t>2018</w:t>
      </w:r>
      <w:r w:rsidRPr="007072FB">
        <w:rPr>
          <w:rFonts w:ascii="Verdana" w:eastAsia="华文细黑" w:hAnsi="Verdana" w:cs="Calibri"/>
          <w:color w:val="000000"/>
        </w:rPr>
        <w:t>年地方政府债务管理工作的通知》（财预〔</w:t>
      </w:r>
      <w:r w:rsidRPr="007072FB">
        <w:rPr>
          <w:rFonts w:ascii="Verdana" w:eastAsia="华文细黑" w:hAnsi="Verdana" w:cs="Calibri"/>
          <w:color w:val="000000"/>
        </w:rPr>
        <w:t>2018</w:t>
      </w:r>
      <w:r w:rsidRPr="007072FB">
        <w:rPr>
          <w:rFonts w:ascii="Verdana" w:eastAsia="华文细黑" w:hAnsi="Verdana" w:cs="Calibri"/>
          <w:color w:val="000000"/>
        </w:rPr>
        <w:t>〕</w:t>
      </w:r>
      <w:r w:rsidRPr="007072FB">
        <w:rPr>
          <w:rFonts w:ascii="Verdana" w:eastAsia="华文细黑" w:hAnsi="Verdana" w:cs="Calibri"/>
          <w:color w:val="000000"/>
        </w:rPr>
        <w:t>34</w:t>
      </w:r>
      <w:r w:rsidRPr="007072FB">
        <w:rPr>
          <w:rFonts w:ascii="Verdana" w:eastAsia="华文细黑" w:hAnsi="Verdana" w:cs="Calibri"/>
          <w:color w:val="000000"/>
        </w:rPr>
        <w:t>号），鼓励有条件的地方试点发展项目收益与融资自求平衡的专项债券，优先在重大区域发展以及乡村振兴、生态环保、保障性住房、公立医院、公立高校、交通、水利、市政基础设施等领域选择符合条件的项目，积极探索试点发行项目收益专项债券，以对应的政府性基金或专项收入偿还。</w:t>
      </w:r>
    </w:p>
    <w:p w14:paraId="7740D38F" w14:textId="77777777" w:rsidR="000D1B9A" w:rsidRPr="007072FB" w:rsidRDefault="00000000">
      <w:pPr>
        <w:spacing w:before="120" w:after="120" w:line="360" w:lineRule="auto"/>
        <w:ind w:firstLine="510"/>
        <w:jc w:val="both"/>
        <w:rPr>
          <w:rFonts w:ascii="Verdana" w:eastAsia="华文细黑" w:hAnsi="Verdana" w:cs="Calibri"/>
          <w:color w:val="000000"/>
        </w:rPr>
      </w:pPr>
      <w:r w:rsidRPr="007072FB">
        <w:rPr>
          <w:rFonts w:ascii="Verdana" w:eastAsia="华文细黑" w:hAnsi="Verdana" w:cs="Calibri"/>
          <w:color w:val="000000"/>
        </w:rPr>
        <w:t>根据财预〔</w:t>
      </w:r>
      <w:r w:rsidRPr="007072FB">
        <w:rPr>
          <w:rFonts w:ascii="Verdana" w:eastAsia="华文细黑" w:hAnsi="Verdana" w:cs="Calibri"/>
          <w:color w:val="000000"/>
        </w:rPr>
        <w:t>2017</w:t>
      </w:r>
      <w:r w:rsidRPr="007072FB">
        <w:rPr>
          <w:rFonts w:ascii="Verdana" w:eastAsia="华文细黑" w:hAnsi="Verdana" w:cs="Calibri"/>
          <w:color w:val="000000"/>
        </w:rPr>
        <w:t>〕</w:t>
      </w:r>
      <w:r w:rsidRPr="007072FB">
        <w:rPr>
          <w:rFonts w:ascii="Verdana" w:eastAsia="华文细黑" w:hAnsi="Verdana" w:cs="Calibri"/>
          <w:color w:val="000000"/>
        </w:rPr>
        <w:t>89</w:t>
      </w:r>
      <w:r w:rsidRPr="007072FB">
        <w:rPr>
          <w:rFonts w:ascii="Verdana" w:eastAsia="华文细黑" w:hAnsi="Verdana" w:cs="Calibri"/>
          <w:color w:val="000000"/>
        </w:rPr>
        <w:t>号文件的要求，分类发行专项债券建设的项目，应当能够产生持续稳定的反映为政府性基金收入或专项收入的现金流收入，且现金</w:t>
      </w:r>
      <w:proofErr w:type="gramStart"/>
      <w:r w:rsidRPr="007072FB">
        <w:rPr>
          <w:rFonts w:ascii="Verdana" w:eastAsia="华文细黑" w:hAnsi="Verdana" w:cs="Calibri"/>
          <w:color w:val="000000"/>
        </w:rPr>
        <w:t>流收入</w:t>
      </w:r>
      <w:proofErr w:type="gramEnd"/>
      <w:r w:rsidRPr="007072FB">
        <w:rPr>
          <w:rFonts w:ascii="Verdana" w:eastAsia="华文细黑" w:hAnsi="Verdana" w:cs="Calibri"/>
          <w:color w:val="000000"/>
        </w:rPr>
        <w:t>应当能够完全覆盖专项债券还本付息的规模。</w:t>
      </w:r>
    </w:p>
    <w:p w14:paraId="0D00FFCD" w14:textId="77777777" w:rsidR="000D1B9A" w:rsidRPr="007072FB" w:rsidRDefault="00000000">
      <w:pPr>
        <w:spacing w:before="120" w:after="120" w:line="360" w:lineRule="auto"/>
        <w:ind w:firstLine="510"/>
        <w:jc w:val="both"/>
        <w:rPr>
          <w:rFonts w:ascii="Verdana" w:eastAsia="华文细黑" w:hAnsi="Verdana" w:cs="Calibri"/>
          <w:color w:val="000000"/>
        </w:rPr>
      </w:pPr>
      <w:r w:rsidRPr="007072FB">
        <w:rPr>
          <w:rFonts w:ascii="Verdana" w:eastAsia="华文细黑" w:hAnsi="Verdana" w:cs="Calibri"/>
          <w:color w:val="000000"/>
        </w:rPr>
        <w:lastRenderedPageBreak/>
        <w:t>此外，根据文件相关要求，地方政府发行专项债券，需要在满足法定专项债务限额的前提下，充分考虑资金筹措的充足性和稳定性。</w:t>
      </w:r>
    </w:p>
    <w:p w14:paraId="7A620FD8" w14:textId="77777777" w:rsidR="000D1B9A" w:rsidRPr="007072FB" w:rsidRDefault="00000000">
      <w:pPr>
        <w:spacing w:before="120" w:after="120" w:line="360" w:lineRule="auto"/>
        <w:ind w:firstLine="510"/>
        <w:jc w:val="both"/>
        <w:rPr>
          <w:rFonts w:ascii="Verdana" w:eastAsia="华文细黑" w:hAnsi="Verdana" w:cs="Calibri"/>
          <w:color w:val="000000"/>
        </w:rPr>
      </w:pPr>
      <w:r w:rsidRPr="007072FB">
        <w:rPr>
          <w:rFonts w:ascii="Verdana" w:eastAsia="华文细黑" w:hAnsi="Verdana" w:cs="Calibri"/>
          <w:color w:val="000000"/>
        </w:rPr>
        <w:t>我们根据国家、地方相关政策文件，以真实、客观、可行、独立为原则，对本项目专项债券分析评价如下：</w:t>
      </w:r>
    </w:p>
    <w:p w14:paraId="1F06D066" w14:textId="77777777" w:rsidR="000D1B9A" w:rsidRPr="007072FB" w:rsidRDefault="00000000">
      <w:pPr>
        <w:spacing w:before="120" w:after="120" w:line="360" w:lineRule="auto"/>
        <w:outlineLvl w:val="0"/>
        <w:rPr>
          <w:rFonts w:ascii="Verdana" w:eastAsia="华文细黑" w:hAnsi="Verdana" w:cs="Calibri"/>
          <w:b/>
          <w:sz w:val="28"/>
        </w:rPr>
      </w:pPr>
      <w:bookmarkStart w:id="64" w:name="_Toc135044145"/>
      <w:r w:rsidRPr="007072FB">
        <w:rPr>
          <w:rFonts w:ascii="Verdana" w:eastAsia="华文细黑" w:hAnsi="Verdana" w:cs="Calibri"/>
          <w:b/>
          <w:sz w:val="28"/>
        </w:rPr>
        <w:t>1</w:t>
      </w:r>
      <w:r w:rsidRPr="007072FB">
        <w:rPr>
          <w:rFonts w:ascii="Verdana" w:eastAsia="华文细黑" w:hAnsi="Verdana" w:cs="Calibri"/>
          <w:b/>
          <w:sz w:val="28"/>
        </w:rPr>
        <w:t>．资金充足性</w:t>
      </w:r>
      <w:bookmarkEnd w:id="64"/>
    </w:p>
    <w:p w14:paraId="6375A781" w14:textId="28B0F270" w:rsidR="000D1B9A" w:rsidRPr="007072FB" w:rsidRDefault="00000000" w:rsidP="000807AB">
      <w:pPr>
        <w:spacing w:before="120" w:after="120" w:line="360" w:lineRule="auto"/>
        <w:ind w:firstLine="510"/>
        <w:jc w:val="both"/>
        <w:rPr>
          <w:rFonts w:ascii="Verdana" w:eastAsia="华文细黑" w:hAnsi="Verdana" w:cs="Calibri"/>
          <w:color w:val="000000"/>
        </w:rPr>
      </w:pPr>
      <w:r w:rsidRPr="007072FB">
        <w:rPr>
          <w:rFonts w:ascii="Verdana" w:eastAsia="华文细黑" w:hAnsi="Verdana" w:cs="Calibri"/>
          <w:color w:val="000000"/>
        </w:rPr>
        <w:t>本次债券发行涉及的项目拟申请专项债券</w:t>
      </w:r>
      <w:bookmarkStart w:id="65" w:name="_Hlk150179804"/>
      <w:r w:rsidR="00DB1A8D" w:rsidRPr="00DB1A8D">
        <w:rPr>
          <w:rFonts w:ascii="Verdana" w:eastAsia="华文细黑" w:hAnsi="Verdana" w:cs="Calibri"/>
          <w:color w:val="000000"/>
        </w:rPr>
        <w:t>68,540.00</w:t>
      </w:r>
      <w:bookmarkEnd w:id="65"/>
      <w:r w:rsidRPr="007072FB">
        <w:rPr>
          <w:rFonts w:ascii="Verdana" w:eastAsia="华文细黑" w:hAnsi="Verdana" w:cs="Calibri"/>
          <w:color w:val="000000"/>
        </w:rPr>
        <w:t>万元，</w:t>
      </w:r>
      <w:r w:rsidR="009A0D83" w:rsidRPr="007072FB">
        <w:rPr>
          <w:rFonts w:ascii="Verdana" w:eastAsia="华文细黑" w:hAnsi="Verdana" w:cs="Calibri"/>
          <w:color w:val="000000"/>
        </w:rPr>
        <w:t>其中，</w:t>
      </w:r>
      <w:r w:rsidR="009A0D83" w:rsidRPr="007072FB">
        <w:rPr>
          <w:rFonts w:ascii="Verdana" w:eastAsia="华文细黑" w:hAnsi="Verdana" w:cs="Calibri"/>
          <w:color w:val="000000"/>
        </w:rPr>
        <w:t>2022</w:t>
      </w:r>
      <w:r w:rsidR="009A0D83" w:rsidRPr="007072FB">
        <w:rPr>
          <w:rFonts w:ascii="Verdana" w:eastAsia="华文细黑" w:hAnsi="Verdana" w:cs="Calibri"/>
          <w:color w:val="000000"/>
        </w:rPr>
        <w:t>年发行专项债券</w:t>
      </w:r>
      <w:r w:rsidR="009A0D83" w:rsidRPr="007072FB">
        <w:rPr>
          <w:rFonts w:ascii="Verdana" w:eastAsia="华文细黑" w:hAnsi="Verdana" w:cs="Calibri"/>
          <w:color w:val="000000"/>
        </w:rPr>
        <w:t>40,400.00</w:t>
      </w:r>
      <w:r w:rsidR="009A0D83" w:rsidRPr="007072FB">
        <w:rPr>
          <w:rFonts w:ascii="Verdana" w:eastAsia="华文细黑" w:hAnsi="Verdana" w:cs="Calibri"/>
          <w:color w:val="000000"/>
        </w:rPr>
        <w:t>万元（</w:t>
      </w:r>
      <w:r w:rsidR="009A0D83" w:rsidRPr="007072FB">
        <w:rPr>
          <w:rFonts w:ascii="Verdana" w:eastAsia="华文细黑" w:hAnsi="Verdana" w:cs="Calibri"/>
          <w:color w:val="000000"/>
        </w:rPr>
        <w:t>2022</w:t>
      </w:r>
      <w:r w:rsidR="009A0D83" w:rsidRPr="007072FB">
        <w:rPr>
          <w:rFonts w:ascii="Verdana" w:eastAsia="华文细黑" w:hAnsi="Verdana" w:cs="Calibri"/>
          <w:color w:val="000000"/>
        </w:rPr>
        <w:t>年发行专项债券经过调增调减后实际发行专项债券</w:t>
      </w:r>
      <w:r w:rsidR="009A0D83" w:rsidRPr="007072FB">
        <w:rPr>
          <w:rFonts w:ascii="Verdana" w:eastAsia="华文细黑" w:hAnsi="Verdana" w:cs="Calibri"/>
          <w:color w:val="000000"/>
        </w:rPr>
        <w:t>40,400.00</w:t>
      </w:r>
      <w:r w:rsidR="009A0D83" w:rsidRPr="007072FB">
        <w:rPr>
          <w:rFonts w:ascii="Verdana" w:eastAsia="华文细黑" w:hAnsi="Verdana" w:cs="Calibri"/>
          <w:color w:val="000000"/>
        </w:rPr>
        <w:t>万元），</w:t>
      </w:r>
      <w:r w:rsidR="009A0D83" w:rsidRPr="007072FB">
        <w:rPr>
          <w:rFonts w:ascii="Verdana" w:eastAsia="华文细黑" w:hAnsi="Verdana" w:cs="Calibri"/>
          <w:color w:val="000000"/>
        </w:rPr>
        <w:t>2023</w:t>
      </w:r>
      <w:r w:rsidR="009A0D83" w:rsidRPr="007072FB">
        <w:rPr>
          <w:rFonts w:ascii="Verdana" w:eastAsia="华文细黑" w:hAnsi="Verdana" w:cs="Calibri"/>
          <w:color w:val="000000"/>
        </w:rPr>
        <w:t>年实际发行专项债券</w:t>
      </w:r>
      <w:r w:rsidR="009A0D83" w:rsidRPr="007072FB">
        <w:rPr>
          <w:rFonts w:ascii="Verdana" w:eastAsia="华文细黑" w:hAnsi="Verdana" w:cs="Calibri"/>
          <w:color w:val="000000"/>
        </w:rPr>
        <w:t>24,640.00</w:t>
      </w:r>
      <w:r w:rsidR="009A0D83" w:rsidRPr="007072FB">
        <w:rPr>
          <w:rFonts w:ascii="Verdana" w:eastAsia="华文细黑" w:hAnsi="Verdana" w:cs="Calibri"/>
          <w:color w:val="000000"/>
        </w:rPr>
        <w:t>万元（</w:t>
      </w:r>
      <w:r w:rsidR="009A0D83" w:rsidRPr="007072FB">
        <w:rPr>
          <w:rFonts w:ascii="Verdana" w:eastAsia="华文细黑" w:hAnsi="Verdana" w:cs="Calibri"/>
          <w:color w:val="000000"/>
        </w:rPr>
        <w:t>2023</w:t>
      </w:r>
      <w:r w:rsidR="009A0D83" w:rsidRPr="007072FB">
        <w:rPr>
          <w:rFonts w:ascii="Verdana" w:eastAsia="华文细黑" w:hAnsi="Verdana" w:cs="Calibri"/>
          <w:color w:val="000000"/>
        </w:rPr>
        <w:t>年发行专项债券经过调增调减后实际发行专项债券</w:t>
      </w:r>
      <w:r w:rsidR="009A0D83" w:rsidRPr="007072FB">
        <w:rPr>
          <w:rFonts w:ascii="Verdana" w:eastAsia="华文细黑" w:hAnsi="Verdana" w:cs="Calibri"/>
          <w:color w:val="000000"/>
        </w:rPr>
        <w:t>24,640.00</w:t>
      </w:r>
      <w:r w:rsidR="009A0D83" w:rsidRPr="007072FB">
        <w:rPr>
          <w:rFonts w:ascii="Verdana" w:eastAsia="华文细黑" w:hAnsi="Verdana" w:cs="Calibri"/>
          <w:color w:val="000000"/>
        </w:rPr>
        <w:t>万元）；</w:t>
      </w:r>
      <w:bookmarkStart w:id="66" w:name="_Hlk150179840"/>
      <w:r w:rsidR="00A91E84" w:rsidRPr="007072FB">
        <w:rPr>
          <w:rFonts w:ascii="Verdana" w:eastAsia="华文细黑" w:hAnsi="Verdana" w:cs="Calibri"/>
          <w:color w:val="000000"/>
        </w:rPr>
        <w:t>2024</w:t>
      </w:r>
      <w:r w:rsidR="00A91E84" w:rsidRPr="007072FB">
        <w:rPr>
          <w:rFonts w:ascii="Verdana" w:eastAsia="华文细黑" w:hAnsi="Verdana" w:cs="Calibri"/>
          <w:color w:val="000000"/>
        </w:rPr>
        <w:t>年</w:t>
      </w:r>
      <w:r w:rsidR="00A91E84">
        <w:rPr>
          <w:rFonts w:ascii="Verdana" w:eastAsia="华文细黑" w:hAnsi="Verdana" w:cs="Calibri"/>
          <w:color w:val="000000"/>
        </w:rPr>
        <w:t>6</w:t>
      </w:r>
      <w:r w:rsidR="00283A2E" w:rsidRPr="007072FB">
        <w:rPr>
          <w:rFonts w:ascii="Verdana" w:eastAsia="华文细黑" w:hAnsi="Verdana" w:cs="Calibri"/>
          <w:color w:val="000000"/>
        </w:rPr>
        <w:t>月调增专项债券</w:t>
      </w:r>
      <w:r w:rsidR="00955234" w:rsidRPr="007072FB">
        <w:rPr>
          <w:rFonts w:ascii="Verdana" w:eastAsia="华文细黑" w:hAnsi="Verdana" w:cs="Calibri"/>
          <w:color w:val="000000"/>
        </w:rPr>
        <w:t>500.00</w:t>
      </w:r>
      <w:r w:rsidR="00955234" w:rsidRPr="007072FB">
        <w:rPr>
          <w:rFonts w:ascii="Verdana" w:eastAsia="华文细黑" w:hAnsi="Verdana" w:cs="Calibri"/>
          <w:color w:val="000000"/>
        </w:rPr>
        <w:t>万元</w:t>
      </w:r>
      <w:r w:rsidR="00670235">
        <w:rPr>
          <w:rFonts w:ascii="Verdana" w:eastAsia="华文细黑" w:hAnsi="Verdana" w:cs="Calibri" w:hint="eastAsia"/>
          <w:color w:val="000000"/>
        </w:rPr>
        <w:t>；</w:t>
      </w:r>
      <w:r w:rsidR="008066C6" w:rsidRPr="008066C6">
        <w:rPr>
          <w:rFonts w:ascii="Verdana" w:eastAsia="华文细黑" w:hAnsi="Verdana" w:cs="Calibri"/>
          <w:color w:val="000000"/>
        </w:rPr>
        <w:t>2024</w:t>
      </w:r>
      <w:r w:rsidR="008066C6" w:rsidRPr="008066C6">
        <w:rPr>
          <w:rFonts w:ascii="Verdana" w:eastAsia="华文细黑" w:hAnsi="Verdana" w:cs="Calibri" w:hint="eastAsia"/>
          <w:color w:val="000000"/>
        </w:rPr>
        <w:t>年</w:t>
      </w:r>
      <w:r w:rsidR="008066C6" w:rsidRPr="008066C6">
        <w:rPr>
          <w:rFonts w:ascii="Verdana" w:eastAsia="华文细黑" w:hAnsi="Verdana" w:cs="Calibri"/>
          <w:color w:val="000000"/>
        </w:rPr>
        <w:t>10</w:t>
      </w:r>
      <w:r w:rsidR="008066C6" w:rsidRPr="008066C6">
        <w:rPr>
          <w:rFonts w:ascii="Verdana" w:eastAsia="华文细黑" w:hAnsi="Verdana" w:cs="Calibri" w:hint="eastAsia"/>
          <w:color w:val="000000"/>
        </w:rPr>
        <w:t>月</w:t>
      </w:r>
      <w:r w:rsidR="00BB38DC">
        <w:rPr>
          <w:rFonts w:ascii="Verdana" w:eastAsia="华文细黑" w:hAnsi="Verdana" w:cs="Calibri" w:hint="eastAsia"/>
          <w:color w:val="000000"/>
        </w:rPr>
        <w:t>实际</w:t>
      </w:r>
      <w:r w:rsidR="00AD2AF0">
        <w:rPr>
          <w:rFonts w:ascii="Verdana" w:eastAsia="华文细黑" w:hAnsi="Verdana" w:cs="Calibri" w:hint="eastAsia"/>
          <w:color w:val="000000"/>
        </w:rPr>
        <w:t>已</w:t>
      </w:r>
      <w:r w:rsidR="008066C6" w:rsidRPr="008066C6">
        <w:rPr>
          <w:rFonts w:ascii="Verdana" w:eastAsia="华文细黑" w:hAnsi="Verdana" w:cs="Calibri" w:hint="eastAsia"/>
          <w:color w:val="000000"/>
        </w:rPr>
        <w:t>发行专项债券</w:t>
      </w:r>
      <w:r w:rsidR="00BB38DC">
        <w:rPr>
          <w:rFonts w:ascii="Verdana" w:eastAsia="华文细黑" w:hAnsi="Verdana" w:cs="Calibri" w:hint="eastAsia"/>
          <w:color w:val="000000"/>
        </w:rPr>
        <w:t>1</w:t>
      </w:r>
      <w:r w:rsidR="008066C6" w:rsidRPr="008066C6">
        <w:rPr>
          <w:rFonts w:ascii="Verdana" w:eastAsia="华文细黑" w:hAnsi="Verdana" w:cs="Calibri"/>
          <w:color w:val="000000"/>
        </w:rPr>
        <w:t>,</w:t>
      </w:r>
      <w:r w:rsidR="00BB38DC">
        <w:rPr>
          <w:rFonts w:ascii="Verdana" w:eastAsia="华文细黑" w:hAnsi="Verdana" w:cs="Calibri" w:hint="eastAsia"/>
          <w:color w:val="000000"/>
        </w:rPr>
        <w:t>5</w:t>
      </w:r>
      <w:r w:rsidR="008066C6" w:rsidRPr="008066C6">
        <w:rPr>
          <w:rFonts w:ascii="Verdana" w:eastAsia="华文细黑" w:hAnsi="Verdana" w:cs="Calibri"/>
          <w:color w:val="000000"/>
        </w:rPr>
        <w:t>00.00</w:t>
      </w:r>
      <w:r w:rsidR="008066C6" w:rsidRPr="008066C6">
        <w:rPr>
          <w:rFonts w:ascii="Verdana" w:eastAsia="华文细黑" w:hAnsi="Verdana" w:cs="Calibri" w:hint="eastAsia"/>
          <w:color w:val="000000"/>
        </w:rPr>
        <w:t>万元</w:t>
      </w:r>
      <w:r w:rsidR="00AD2AF0">
        <w:rPr>
          <w:rFonts w:ascii="Verdana" w:eastAsia="华文细黑" w:hAnsi="Verdana" w:cs="Calibri" w:hint="eastAsia"/>
          <w:color w:val="000000"/>
        </w:rPr>
        <w:t>，</w:t>
      </w:r>
      <w:r w:rsidR="00BB38DC">
        <w:rPr>
          <w:rFonts w:ascii="Verdana" w:eastAsia="华文细黑" w:hAnsi="Verdana" w:cs="Calibri" w:hint="eastAsia"/>
          <w:color w:val="000000"/>
        </w:rPr>
        <w:t>（</w:t>
      </w:r>
      <w:r w:rsidR="00BB38DC">
        <w:rPr>
          <w:rFonts w:ascii="Verdana" w:eastAsia="华文细黑" w:hAnsi="Verdana" w:cs="Calibri" w:hint="eastAsia"/>
          <w:color w:val="000000"/>
        </w:rPr>
        <w:t>2024</w:t>
      </w:r>
      <w:r w:rsidR="00BB38DC">
        <w:rPr>
          <w:rFonts w:ascii="Verdana" w:eastAsia="华文细黑" w:hAnsi="Verdana" w:cs="Calibri" w:hint="eastAsia"/>
          <w:color w:val="000000"/>
        </w:rPr>
        <w:t>年</w:t>
      </w:r>
      <w:r w:rsidR="00BB38DC">
        <w:rPr>
          <w:rFonts w:ascii="Verdana" w:eastAsia="华文细黑" w:hAnsi="Verdana" w:cs="Calibri" w:hint="eastAsia"/>
          <w:color w:val="000000"/>
        </w:rPr>
        <w:t>10</w:t>
      </w:r>
      <w:r w:rsidR="00BB38DC">
        <w:rPr>
          <w:rFonts w:ascii="Verdana" w:eastAsia="华文细黑" w:hAnsi="Verdana" w:cs="Calibri" w:hint="eastAsia"/>
          <w:color w:val="000000"/>
        </w:rPr>
        <w:t>月已发行专项债券</w:t>
      </w:r>
      <w:r w:rsidR="00BB38DC">
        <w:rPr>
          <w:rFonts w:ascii="Verdana" w:eastAsia="华文细黑" w:hAnsi="Verdana" w:cs="Calibri" w:hint="eastAsia"/>
          <w:color w:val="000000"/>
        </w:rPr>
        <w:t>3,000</w:t>
      </w:r>
      <w:r w:rsidR="00BB38DC">
        <w:rPr>
          <w:rFonts w:ascii="Verdana" w:eastAsia="华文细黑" w:hAnsi="Verdana" w:cs="Calibri" w:hint="eastAsia"/>
          <w:color w:val="000000"/>
        </w:rPr>
        <w:t>万元，</w:t>
      </w:r>
      <w:r w:rsidR="00BB38DC" w:rsidRPr="00BB38DC">
        <w:rPr>
          <w:rFonts w:ascii="Verdana" w:eastAsia="华文细黑" w:hAnsi="Verdana" w:cs="Calibri" w:hint="eastAsia"/>
          <w:color w:val="000000"/>
        </w:rPr>
        <w:t>其中：</w:t>
      </w:r>
      <w:r w:rsidR="00AD2AF0">
        <w:rPr>
          <w:rFonts w:ascii="Verdana" w:eastAsia="华文细黑" w:hAnsi="Verdana" w:cs="Calibri" w:hint="eastAsia"/>
          <w:color w:val="000000"/>
        </w:rPr>
        <w:t>本次</w:t>
      </w:r>
      <w:r w:rsidR="00AD2AF0" w:rsidRPr="00AD2AF0">
        <w:rPr>
          <w:rFonts w:ascii="Verdana" w:eastAsia="华文细黑" w:hAnsi="Verdana" w:cs="Calibri" w:hint="eastAsia"/>
          <w:color w:val="000000"/>
        </w:rPr>
        <w:t>调</w:t>
      </w:r>
      <w:r w:rsidR="00AD2AF0">
        <w:rPr>
          <w:rFonts w:ascii="Verdana" w:eastAsia="华文细黑" w:hAnsi="Verdana" w:cs="Calibri" w:hint="eastAsia"/>
          <w:color w:val="000000"/>
        </w:rPr>
        <w:t>减</w:t>
      </w:r>
      <w:r w:rsidR="00AD2AF0" w:rsidRPr="00AD2AF0">
        <w:rPr>
          <w:rFonts w:ascii="Verdana" w:eastAsia="华文细黑" w:hAnsi="Verdana" w:cs="Calibri" w:hint="eastAsia"/>
          <w:color w:val="000000"/>
        </w:rPr>
        <w:t>存量债券资金为三亚市棕榈滩污水主干管疏通清理、修复及压力管建设工程结余未使用的资金</w:t>
      </w:r>
      <w:r w:rsidR="008066C6" w:rsidRPr="008066C6">
        <w:rPr>
          <w:rFonts w:ascii="Verdana" w:eastAsia="华文细黑" w:hAnsi="Verdana" w:cs="Calibri"/>
          <w:color w:val="000000"/>
        </w:rPr>
        <w:t>500.00</w:t>
      </w:r>
      <w:r w:rsidR="008066C6" w:rsidRPr="008066C6">
        <w:rPr>
          <w:rFonts w:ascii="Verdana" w:eastAsia="华文细黑" w:hAnsi="Verdana" w:cs="Calibri" w:hint="eastAsia"/>
          <w:color w:val="000000"/>
        </w:rPr>
        <w:t>万元</w:t>
      </w:r>
      <w:r w:rsidR="00BB38DC">
        <w:rPr>
          <w:rFonts w:ascii="Verdana" w:eastAsia="华文细黑" w:hAnsi="Verdana" w:cs="Calibri" w:hint="eastAsia"/>
          <w:color w:val="000000"/>
        </w:rPr>
        <w:t>，调增至</w:t>
      </w:r>
      <w:r w:rsidR="008066C6" w:rsidRPr="008066C6">
        <w:rPr>
          <w:rFonts w:ascii="Verdana" w:eastAsia="华文细黑" w:hAnsi="Verdana" w:cs="Calibri" w:hint="eastAsia"/>
          <w:color w:val="000000"/>
        </w:rPr>
        <w:t>吉阳区</w:t>
      </w:r>
      <w:proofErr w:type="gramStart"/>
      <w:r w:rsidR="008066C6" w:rsidRPr="008066C6">
        <w:rPr>
          <w:rFonts w:ascii="Verdana" w:eastAsia="华文细黑" w:hAnsi="Verdana" w:cs="Calibri" w:hint="eastAsia"/>
          <w:color w:val="000000"/>
        </w:rPr>
        <w:t>商品街港门</w:t>
      </w:r>
      <w:proofErr w:type="gramEnd"/>
      <w:r w:rsidR="008066C6" w:rsidRPr="008066C6">
        <w:rPr>
          <w:rFonts w:ascii="Verdana" w:eastAsia="华文细黑" w:hAnsi="Verdana" w:cs="Calibri" w:hint="eastAsia"/>
          <w:color w:val="000000"/>
        </w:rPr>
        <w:t>村片区弱电光缆下地整治项目；</w:t>
      </w:r>
      <w:r w:rsidR="00AD2AF0" w:rsidRPr="00AD2AF0">
        <w:rPr>
          <w:rFonts w:ascii="Verdana" w:eastAsia="华文细黑" w:hAnsi="Verdana" w:cs="Calibri" w:hint="eastAsia"/>
          <w:color w:val="000000"/>
        </w:rPr>
        <w:t>调减存量债券资金为</w:t>
      </w:r>
      <w:r w:rsidR="008066C6" w:rsidRPr="008066C6">
        <w:rPr>
          <w:rFonts w:ascii="Verdana" w:eastAsia="华文细黑" w:hAnsi="Verdana" w:cs="Calibri" w:hint="eastAsia"/>
          <w:color w:val="000000"/>
        </w:rPr>
        <w:t>三亚市抱坡溪东片区排水管网提质增效工程</w:t>
      </w:r>
      <w:r w:rsidR="00AD2AF0" w:rsidRPr="00AD2AF0">
        <w:rPr>
          <w:rFonts w:ascii="Verdana" w:eastAsia="华文细黑" w:hAnsi="Verdana" w:cs="Calibri" w:hint="eastAsia"/>
          <w:color w:val="000000"/>
        </w:rPr>
        <w:t>结余未使用的资金</w:t>
      </w:r>
      <w:r w:rsidR="008066C6" w:rsidRPr="008066C6">
        <w:rPr>
          <w:rFonts w:ascii="Verdana" w:eastAsia="华文细黑" w:hAnsi="Verdana" w:cs="Calibri"/>
          <w:color w:val="000000"/>
        </w:rPr>
        <w:t>1,000.00</w:t>
      </w:r>
      <w:r w:rsidR="008066C6" w:rsidRPr="008066C6">
        <w:rPr>
          <w:rFonts w:ascii="Verdana" w:eastAsia="华文细黑" w:hAnsi="Verdana" w:cs="Calibri" w:hint="eastAsia"/>
          <w:color w:val="000000"/>
        </w:rPr>
        <w:t>万元，</w:t>
      </w:r>
      <w:r w:rsidR="00BB38DC">
        <w:rPr>
          <w:rFonts w:ascii="Verdana" w:eastAsia="华文细黑" w:hAnsi="Verdana" w:cs="Calibri" w:hint="eastAsia"/>
          <w:color w:val="000000"/>
        </w:rPr>
        <w:t>分别</w:t>
      </w:r>
      <w:r w:rsidR="00AD2AF0">
        <w:rPr>
          <w:rFonts w:ascii="Verdana" w:eastAsia="华文细黑" w:hAnsi="Verdana" w:cs="Calibri" w:hint="eastAsia"/>
          <w:color w:val="000000"/>
        </w:rPr>
        <w:t>调增至</w:t>
      </w:r>
      <w:r w:rsidR="008066C6" w:rsidRPr="008066C6">
        <w:rPr>
          <w:rFonts w:ascii="Verdana" w:eastAsia="华文细黑" w:hAnsi="Verdana" w:cs="Calibri" w:hint="eastAsia"/>
          <w:color w:val="000000"/>
        </w:rPr>
        <w:t>三亚市鹿回头及</w:t>
      </w:r>
      <w:proofErr w:type="gramStart"/>
      <w:r w:rsidR="008066C6" w:rsidRPr="008066C6">
        <w:rPr>
          <w:rFonts w:ascii="Verdana" w:eastAsia="华文细黑" w:hAnsi="Verdana" w:cs="Calibri" w:hint="eastAsia"/>
          <w:color w:val="000000"/>
        </w:rPr>
        <w:t>红沙南片区</w:t>
      </w:r>
      <w:proofErr w:type="gramEnd"/>
      <w:r w:rsidR="008066C6" w:rsidRPr="008066C6">
        <w:rPr>
          <w:rFonts w:ascii="Verdana" w:eastAsia="华文细黑" w:hAnsi="Verdana" w:cs="Calibri" w:hint="eastAsia"/>
          <w:color w:val="000000"/>
        </w:rPr>
        <w:t>排水管网提质增效工程</w:t>
      </w:r>
      <w:r w:rsidR="008066C6" w:rsidRPr="008066C6">
        <w:rPr>
          <w:rFonts w:ascii="Verdana" w:eastAsia="华文细黑" w:hAnsi="Verdana" w:cs="Calibri"/>
          <w:color w:val="000000"/>
        </w:rPr>
        <w:t>500.00</w:t>
      </w:r>
      <w:r w:rsidR="008066C6" w:rsidRPr="008066C6">
        <w:rPr>
          <w:rFonts w:ascii="Verdana" w:eastAsia="华文细黑" w:hAnsi="Verdana" w:cs="Calibri" w:hint="eastAsia"/>
          <w:color w:val="000000"/>
        </w:rPr>
        <w:t>万元，海南三亚国际</w:t>
      </w:r>
      <w:proofErr w:type="gramStart"/>
      <w:r w:rsidR="008066C6" w:rsidRPr="008066C6">
        <w:rPr>
          <w:rFonts w:ascii="Verdana" w:eastAsia="华文细黑" w:hAnsi="Verdana" w:cs="Calibri" w:hint="eastAsia"/>
          <w:color w:val="000000"/>
        </w:rPr>
        <w:t>邮轮港</w:t>
      </w:r>
      <w:proofErr w:type="gramEnd"/>
      <w:r w:rsidR="008066C6" w:rsidRPr="008066C6">
        <w:rPr>
          <w:rFonts w:ascii="Verdana" w:eastAsia="华文细黑" w:hAnsi="Verdana" w:cs="Calibri" w:hint="eastAsia"/>
          <w:color w:val="000000"/>
        </w:rPr>
        <w:t>一期项目</w:t>
      </w:r>
      <w:r w:rsidR="008066C6" w:rsidRPr="008066C6">
        <w:rPr>
          <w:rFonts w:ascii="Verdana" w:eastAsia="华文细黑" w:hAnsi="Verdana" w:cs="Calibri"/>
          <w:color w:val="000000"/>
        </w:rPr>
        <w:t>500.00</w:t>
      </w:r>
      <w:r w:rsidR="008066C6" w:rsidRPr="008066C6">
        <w:rPr>
          <w:rFonts w:ascii="Verdana" w:eastAsia="华文细黑" w:hAnsi="Verdana" w:cs="Calibri" w:hint="eastAsia"/>
          <w:color w:val="000000"/>
        </w:rPr>
        <w:t>万元）</w:t>
      </w:r>
      <w:r w:rsidR="00BB38DC">
        <w:rPr>
          <w:rFonts w:ascii="Verdana" w:eastAsia="华文细黑" w:hAnsi="Verdana" w:cs="Calibri" w:hint="eastAsia"/>
          <w:color w:val="000000"/>
        </w:rPr>
        <w:t>。</w:t>
      </w:r>
      <w:r w:rsidR="00670235" w:rsidRPr="00670235">
        <w:rPr>
          <w:rFonts w:ascii="Verdana" w:eastAsia="华文细黑" w:hAnsi="Verdana" w:cs="Calibri" w:hint="eastAsia"/>
          <w:color w:val="000000"/>
        </w:rPr>
        <w:t>本期调增专项债券</w:t>
      </w:r>
      <w:r w:rsidR="00670235" w:rsidRPr="00670235">
        <w:rPr>
          <w:rFonts w:ascii="Verdana" w:eastAsia="华文细黑" w:hAnsi="Verdana" w:cs="Calibri"/>
          <w:color w:val="000000"/>
        </w:rPr>
        <w:t>1,500.00</w:t>
      </w:r>
      <w:r w:rsidR="00670235" w:rsidRPr="00670235">
        <w:rPr>
          <w:rFonts w:ascii="Verdana" w:eastAsia="华文细黑" w:hAnsi="Verdana" w:cs="Calibri" w:hint="eastAsia"/>
          <w:color w:val="000000"/>
        </w:rPr>
        <w:t>万元，调入存量债券资金为三亚东岸片区丹东西路和东岸西二路项目结余未使用的资金</w:t>
      </w:r>
      <w:r w:rsidR="00670235" w:rsidRPr="00670235">
        <w:rPr>
          <w:rFonts w:ascii="Verdana" w:eastAsia="华文细黑" w:hAnsi="Verdana" w:cs="Calibri"/>
          <w:color w:val="000000"/>
        </w:rPr>
        <w:t>1,000.00</w:t>
      </w:r>
      <w:r w:rsidR="00670235" w:rsidRPr="00670235">
        <w:rPr>
          <w:rFonts w:ascii="Verdana" w:eastAsia="华文细黑" w:hAnsi="Verdana" w:cs="Calibri" w:hint="eastAsia"/>
          <w:color w:val="000000"/>
        </w:rPr>
        <w:t>万元，三亚市抱坡溪东片区排水管网提质增效工程结余未使用的资金</w:t>
      </w:r>
      <w:r w:rsidR="00670235" w:rsidRPr="00670235">
        <w:rPr>
          <w:rFonts w:ascii="Verdana" w:eastAsia="华文细黑" w:hAnsi="Verdana" w:cs="Calibri"/>
          <w:color w:val="000000"/>
        </w:rPr>
        <w:t>500.00</w:t>
      </w:r>
      <w:r w:rsidR="00670235" w:rsidRPr="00670235">
        <w:rPr>
          <w:rFonts w:ascii="Verdana" w:eastAsia="华文细黑" w:hAnsi="Verdana" w:cs="Calibri" w:hint="eastAsia"/>
          <w:color w:val="000000"/>
        </w:rPr>
        <w:t>万元。</w:t>
      </w:r>
      <w:bookmarkEnd w:id="66"/>
      <w:r w:rsidRPr="00F22741">
        <w:rPr>
          <w:rFonts w:ascii="Verdana" w:eastAsia="华文细黑" w:hAnsi="Verdana" w:cs="Calibri" w:hint="eastAsia"/>
          <w:color w:val="000000"/>
        </w:rPr>
        <w:t>债券本息和</w:t>
      </w:r>
      <w:r w:rsidR="00501B5D" w:rsidRPr="00501B5D">
        <w:rPr>
          <w:rFonts w:ascii="Verdana" w:eastAsia="华文细黑" w:hAnsi="Verdana" w:cs="Calibri"/>
          <w:color w:val="000000"/>
        </w:rPr>
        <w:t>91,559.52</w:t>
      </w:r>
      <w:r w:rsidRPr="00F22741">
        <w:rPr>
          <w:rFonts w:ascii="Verdana" w:eastAsia="华文细黑" w:hAnsi="Verdana" w:cs="Calibri" w:hint="eastAsia"/>
          <w:color w:val="000000"/>
        </w:rPr>
        <w:t>万元，全周期项目累计可偿债收益为</w:t>
      </w:r>
      <w:bookmarkStart w:id="67" w:name="_Hlk150179934"/>
      <w:r w:rsidR="00501B5D" w:rsidRPr="00501B5D">
        <w:rPr>
          <w:rFonts w:ascii="Verdana" w:eastAsia="华文细黑" w:hAnsi="Verdana" w:cs="Calibri"/>
          <w:color w:val="000000"/>
        </w:rPr>
        <w:t>132,373.65</w:t>
      </w:r>
      <w:bookmarkEnd w:id="67"/>
      <w:r w:rsidRPr="00F22741">
        <w:rPr>
          <w:rFonts w:ascii="Verdana" w:eastAsia="华文细黑" w:hAnsi="Verdana" w:cs="Calibri" w:hint="eastAsia"/>
          <w:color w:val="000000"/>
        </w:rPr>
        <w:t>万元。根据项目收益与融资平衡分析结果显示，债券存续期内还本付息资金充足，综合本息覆盖率可达到</w:t>
      </w:r>
      <w:r w:rsidR="005745C2" w:rsidRPr="00F22741">
        <w:rPr>
          <w:rFonts w:ascii="Verdana" w:eastAsia="华文细黑" w:hAnsi="Verdana" w:cs="Calibri"/>
          <w:color w:val="000000"/>
        </w:rPr>
        <w:t>1.</w:t>
      </w:r>
      <w:r w:rsidR="00501B5D">
        <w:rPr>
          <w:rFonts w:ascii="Verdana" w:eastAsia="华文细黑" w:hAnsi="Verdana" w:cs="Calibri" w:hint="eastAsia"/>
          <w:color w:val="000000"/>
        </w:rPr>
        <w:t>50</w:t>
      </w:r>
      <w:r w:rsidRPr="00F22741">
        <w:rPr>
          <w:rFonts w:ascii="Verdana" w:eastAsia="华文细黑" w:hAnsi="Verdana" w:cs="Calibri" w:hint="eastAsia"/>
          <w:color w:val="000000"/>
        </w:rPr>
        <w:t>，本息覆盖倍数可达到</w:t>
      </w:r>
      <w:r w:rsidRPr="00F22741">
        <w:rPr>
          <w:rFonts w:ascii="Verdana" w:eastAsia="华文细黑" w:hAnsi="Verdana" w:cs="Calibri"/>
          <w:color w:val="000000"/>
        </w:rPr>
        <w:t>1.</w:t>
      </w:r>
      <w:r w:rsidR="00501B5D">
        <w:rPr>
          <w:rFonts w:ascii="Verdana" w:eastAsia="华文细黑" w:hAnsi="Verdana" w:cs="Calibri" w:hint="eastAsia"/>
          <w:color w:val="000000"/>
        </w:rPr>
        <w:t>45</w:t>
      </w:r>
      <w:r w:rsidRPr="00F22741">
        <w:rPr>
          <w:rFonts w:ascii="Verdana" w:eastAsia="华文细黑" w:hAnsi="Verdana" w:cs="Calibri" w:hint="eastAsia"/>
          <w:color w:val="000000"/>
        </w:rPr>
        <w:t>倍；</w:t>
      </w:r>
      <w:r w:rsidRPr="007072FB">
        <w:rPr>
          <w:rFonts w:ascii="Verdana" w:eastAsia="华文细黑" w:hAnsi="Verdana" w:cs="Calibri"/>
          <w:color w:val="000000"/>
        </w:rPr>
        <w:t>详见表</w:t>
      </w:r>
      <w:r w:rsidR="00913C47">
        <w:rPr>
          <w:rFonts w:ascii="Verdana" w:eastAsia="华文细黑" w:hAnsi="Verdana" w:cs="Calibri" w:hint="eastAsia"/>
          <w:color w:val="000000"/>
        </w:rPr>
        <w:t>2</w:t>
      </w:r>
      <w:r w:rsidRPr="007072FB">
        <w:rPr>
          <w:rFonts w:ascii="Verdana" w:eastAsia="华文细黑" w:hAnsi="Verdana" w:cs="Calibri"/>
          <w:color w:val="000000"/>
        </w:rPr>
        <w:t>：</w:t>
      </w:r>
    </w:p>
    <w:p w14:paraId="742F99E1" w14:textId="77777777" w:rsidR="00913C47" w:rsidRDefault="00913C47">
      <w:pPr>
        <w:spacing w:after="160" w:line="259" w:lineRule="auto"/>
        <w:jc w:val="center"/>
        <w:rPr>
          <w:rFonts w:ascii="Verdana" w:eastAsia="华文细黑" w:hAnsi="Verdana" w:cs="Calibri"/>
          <w:b/>
          <w:color w:val="000000"/>
        </w:rPr>
      </w:pPr>
      <w:r>
        <w:rPr>
          <w:rFonts w:ascii="Verdana" w:eastAsia="华文细黑" w:hAnsi="Verdana" w:cs="Calibri"/>
          <w:b/>
          <w:color w:val="000000"/>
        </w:rPr>
        <w:br w:type="page"/>
      </w:r>
    </w:p>
    <w:p w14:paraId="33A7E086" w14:textId="275176CD" w:rsidR="000D1B9A" w:rsidRPr="007072FB" w:rsidRDefault="00000000">
      <w:pPr>
        <w:spacing w:after="160" w:line="259" w:lineRule="auto"/>
        <w:jc w:val="center"/>
        <w:rPr>
          <w:rFonts w:ascii="Verdana" w:eastAsia="华文细黑" w:hAnsi="Verdana" w:cs="Calibri"/>
          <w:b/>
          <w:color w:val="000000"/>
        </w:rPr>
      </w:pPr>
      <w:r w:rsidRPr="007072FB">
        <w:rPr>
          <w:rFonts w:ascii="Verdana" w:eastAsia="华文细黑" w:hAnsi="Verdana" w:cs="Calibri"/>
          <w:b/>
          <w:color w:val="000000"/>
        </w:rPr>
        <w:lastRenderedPageBreak/>
        <w:t>表</w:t>
      </w:r>
      <w:r w:rsidR="00913C47">
        <w:rPr>
          <w:rFonts w:ascii="Verdana" w:eastAsia="华文细黑" w:hAnsi="Verdana" w:cs="Calibri" w:hint="eastAsia"/>
          <w:b/>
          <w:color w:val="000000"/>
        </w:rPr>
        <w:t>2</w:t>
      </w:r>
      <w:r w:rsidRPr="007072FB">
        <w:rPr>
          <w:rFonts w:ascii="Verdana" w:eastAsia="华文细黑" w:hAnsi="Verdana" w:cs="Calibri"/>
          <w:b/>
          <w:color w:val="000000"/>
        </w:rPr>
        <w:t>项目总投资估算表</w:t>
      </w:r>
    </w:p>
    <w:p w14:paraId="4A5D344B" w14:textId="77777777" w:rsidR="000D1B9A" w:rsidRPr="007072FB" w:rsidRDefault="00000000">
      <w:pPr>
        <w:ind w:right="135"/>
        <w:jc w:val="right"/>
        <w:rPr>
          <w:rFonts w:ascii="Verdana" w:eastAsia="华文细黑" w:hAnsi="Verdana" w:cs="Calibri"/>
          <w:color w:val="000000"/>
          <w:sz w:val="20"/>
          <w:szCs w:val="20"/>
        </w:rPr>
      </w:pPr>
      <w:r w:rsidRPr="007072FB">
        <w:rPr>
          <w:rFonts w:ascii="Verdana" w:eastAsia="华文细黑" w:hAnsi="Verdana" w:cs="Calibri"/>
          <w:color w:val="000000"/>
          <w:sz w:val="20"/>
          <w:szCs w:val="20"/>
        </w:rPr>
        <w:t>单位：人民币万元</w:t>
      </w:r>
    </w:p>
    <w:tbl>
      <w:tblPr>
        <w:tblW w:w="594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4"/>
        <w:gridCol w:w="1419"/>
        <w:gridCol w:w="1558"/>
        <w:gridCol w:w="1275"/>
        <w:gridCol w:w="1132"/>
        <w:gridCol w:w="1253"/>
        <w:gridCol w:w="1218"/>
        <w:gridCol w:w="843"/>
      </w:tblGrid>
      <w:tr w:rsidR="007D2521" w:rsidRPr="00C07604" w14:paraId="1E60CA46" w14:textId="77777777" w:rsidTr="004B465C">
        <w:trPr>
          <w:trHeight w:val="535"/>
          <w:jc w:val="center"/>
        </w:trPr>
        <w:tc>
          <w:tcPr>
            <w:tcW w:w="758" w:type="pct"/>
            <w:shd w:val="clear" w:color="auto" w:fill="0070C0"/>
            <w:noWrap/>
            <w:vAlign w:val="center"/>
          </w:tcPr>
          <w:p w14:paraId="1E26E10C" w14:textId="77777777" w:rsidR="003A7DE6" w:rsidRPr="004B465C" w:rsidRDefault="003A7DE6" w:rsidP="00464E56">
            <w:pPr>
              <w:jc w:val="center"/>
              <w:rPr>
                <w:rFonts w:asciiTheme="minorHAnsi" w:eastAsia="华文细黑" w:hAnsiTheme="minorHAnsi" w:cs="Calibri"/>
                <w:b/>
                <w:bCs/>
                <w:color w:val="FFFFFF" w:themeColor="background1"/>
                <w:sz w:val="20"/>
                <w:szCs w:val="20"/>
              </w:rPr>
            </w:pPr>
            <w:r w:rsidRPr="004B465C">
              <w:rPr>
                <w:rFonts w:asciiTheme="minorHAnsi" w:eastAsia="华文细黑" w:hAnsiTheme="minorHAnsi" w:cs="Calibri" w:hint="eastAsia"/>
                <w:b/>
                <w:bCs/>
                <w:color w:val="FFFFFF" w:themeColor="background1"/>
                <w:sz w:val="20"/>
                <w:szCs w:val="20"/>
              </w:rPr>
              <w:t>项目名称</w:t>
            </w:r>
          </w:p>
        </w:tc>
        <w:tc>
          <w:tcPr>
            <w:tcW w:w="692" w:type="pct"/>
            <w:shd w:val="clear" w:color="auto" w:fill="0070C0"/>
            <w:noWrap/>
            <w:vAlign w:val="center"/>
          </w:tcPr>
          <w:p w14:paraId="5494564F" w14:textId="77777777" w:rsidR="003A7DE6" w:rsidRPr="004B465C" w:rsidRDefault="003A7DE6" w:rsidP="00464E56">
            <w:pPr>
              <w:jc w:val="center"/>
              <w:rPr>
                <w:rFonts w:asciiTheme="minorHAnsi" w:eastAsia="华文细黑" w:hAnsiTheme="minorHAnsi" w:cs="Calibri"/>
                <w:b/>
                <w:bCs/>
                <w:color w:val="FFFFFF" w:themeColor="background1"/>
                <w:sz w:val="20"/>
                <w:szCs w:val="20"/>
              </w:rPr>
            </w:pPr>
            <w:r w:rsidRPr="004B465C">
              <w:rPr>
                <w:rFonts w:asciiTheme="minorHAnsi" w:eastAsia="华文细黑" w:hAnsiTheme="minorHAnsi" w:cs="微软雅黑" w:hint="eastAsia"/>
                <w:b/>
                <w:bCs/>
                <w:color w:val="FFFFFF" w:themeColor="background1"/>
                <w:sz w:val="20"/>
                <w:szCs w:val="20"/>
              </w:rPr>
              <w:t>项目总投资</w:t>
            </w:r>
          </w:p>
        </w:tc>
        <w:tc>
          <w:tcPr>
            <w:tcW w:w="760" w:type="pct"/>
            <w:shd w:val="clear" w:color="auto" w:fill="0070C0"/>
            <w:vAlign w:val="center"/>
          </w:tcPr>
          <w:p w14:paraId="59C00371" w14:textId="77777777" w:rsidR="003A7DE6" w:rsidRPr="004B465C" w:rsidRDefault="003A7DE6" w:rsidP="00464E56">
            <w:pPr>
              <w:jc w:val="center"/>
              <w:rPr>
                <w:rFonts w:asciiTheme="minorHAnsi" w:eastAsia="华文细黑" w:hAnsiTheme="minorHAnsi" w:cs="Calibri"/>
                <w:b/>
                <w:bCs/>
                <w:color w:val="FFFFFF" w:themeColor="background1"/>
                <w:sz w:val="20"/>
                <w:szCs w:val="20"/>
              </w:rPr>
            </w:pPr>
            <w:r w:rsidRPr="004B465C">
              <w:rPr>
                <w:rFonts w:asciiTheme="minorHAnsi" w:eastAsia="华文细黑" w:hAnsiTheme="minorHAnsi" w:cs="微软雅黑" w:hint="eastAsia"/>
                <w:b/>
                <w:bCs/>
                <w:color w:val="FFFFFF" w:themeColor="background1"/>
                <w:sz w:val="20"/>
                <w:szCs w:val="20"/>
              </w:rPr>
              <w:t>用于资金平衡的项目收益</w:t>
            </w:r>
          </w:p>
        </w:tc>
        <w:tc>
          <w:tcPr>
            <w:tcW w:w="622" w:type="pct"/>
            <w:shd w:val="clear" w:color="auto" w:fill="0070C0"/>
            <w:noWrap/>
            <w:vAlign w:val="center"/>
          </w:tcPr>
          <w:p w14:paraId="3650F1B9" w14:textId="77777777" w:rsidR="003A7DE6" w:rsidRPr="004B465C" w:rsidRDefault="003A7DE6" w:rsidP="00464E56">
            <w:pPr>
              <w:jc w:val="center"/>
              <w:rPr>
                <w:rFonts w:asciiTheme="minorHAnsi" w:eastAsia="华文细黑" w:hAnsiTheme="minorHAnsi" w:cs="Calibri"/>
                <w:b/>
                <w:bCs/>
                <w:color w:val="FFFFFF" w:themeColor="background1"/>
                <w:sz w:val="20"/>
                <w:szCs w:val="20"/>
              </w:rPr>
            </w:pPr>
            <w:r w:rsidRPr="004B465C">
              <w:rPr>
                <w:rFonts w:asciiTheme="minorHAnsi" w:eastAsia="华文细黑" w:hAnsiTheme="minorHAnsi" w:cs="微软雅黑" w:hint="eastAsia"/>
                <w:b/>
                <w:bCs/>
                <w:color w:val="FFFFFF" w:themeColor="background1"/>
                <w:sz w:val="20"/>
                <w:szCs w:val="20"/>
              </w:rPr>
              <w:t>已发行额</w:t>
            </w:r>
          </w:p>
        </w:tc>
        <w:tc>
          <w:tcPr>
            <w:tcW w:w="552" w:type="pct"/>
            <w:shd w:val="clear" w:color="auto" w:fill="0070C0"/>
            <w:noWrap/>
            <w:vAlign w:val="center"/>
          </w:tcPr>
          <w:p w14:paraId="5A5620B8" w14:textId="2DF2CBA1" w:rsidR="003A7DE6" w:rsidRPr="004B465C" w:rsidRDefault="003A7DE6" w:rsidP="00464E56">
            <w:pPr>
              <w:jc w:val="center"/>
              <w:rPr>
                <w:rFonts w:asciiTheme="minorHAnsi" w:eastAsia="华文细黑" w:hAnsiTheme="minorHAnsi" w:cs="微软雅黑"/>
                <w:b/>
                <w:bCs/>
                <w:color w:val="FFFFFF" w:themeColor="background1"/>
                <w:sz w:val="20"/>
                <w:szCs w:val="20"/>
              </w:rPr>
            </w:pPr>
            <w:r w:rsidRPr="004B465C">
              <w:rPr>
                <w:rFonts w:asciiTheme="minorHAnsi" w:eastAsia="华文细黑" w:hAnsiTheme="minorHAnsi" w:cs="微软雅黑" w:hint="eastAsia"/>
                <w:b/>
                <w:bCs/>
                <w:color w:val="FFFFFF" w:themeColor="background1"/>
                <w:sz w:val="20"/>
                <w:szCs w:val="20"/>
              </w:rPr>
              <w:t>本期</w:t>
            </w:r>
            <w:r w:rsidR="007D2521">
              <w:rPr>
                <w:rFonts w:asciiTheme="minorHAnsi" w:eastAsia="华文细黑" w:hAnsiTheme="minorHAnsi" w:cs="微软雅黑" w:hint="eastAsia"/>
                <w:b/>
                <w:bCs/>
                <w:color w:val="FFFFFF" w:themeColor="background1"/>
                <w:sz w:val="20"/>
                <w:szCs w:val="20"/>
              </w:rPr>
              <w:t>调增</w:t>
            </w:r>
          </w:p>
          <w:p w14:paraId="35321CDE" w14:textId="77777777" w:rsidR="003A7DE6" w:rsidRPr="004B465C" w:rsidRDefault="003A7DE6" w:rsidP="00464E56">
            <w:pPr>
              <w:jc w:val="center"/>
              <w:rPr>
                <w:rFonts w:asciiTheme="minorHAnsi" w:eastAsia="华文细黑" w:hAnsiTheme="minorHAnsi" w:cs="Calibri"/>
                <w:b/>
                <w:bCs/>
                <w:color w:val="FFFFFF" w:themeColor="background1"/>
                <w:sz w:val="20"/>
                <w:szCs w:val="20"/>
              </w:rPr>
            </w:pPr>
            <w:r w:rsidRPr="004B465C">
              <w:rPr>
                <w:rFonts w:asciiTheme="minorHAnsi" w:eastAsia="华文细黑" w:hAnsiTheme="minorHAnsi" w:cs="微软雅黑" w:hint="eastAsia"/>
                <w:b/>
                <w:bCs/>
                <w:color w:val="FFFFFF" w:themeColor="background1"/>
                <w:sz w:val="20"/>
                <w:szCs w:val="20"/>
              </w:rPr>
              <w:t>金额</w:t>
            </w:r>
          </w:p>
        </w:tc>
        <w:tc>
          <w:tcPr>
            <w:tcW w:w="611" w:type="pct"/>
            <w:shd w:val="clear" w:color="auto" w:fill="0070C0"/>
            <w:noWrap/>
            <w:vAlign w:val="center"/>
          </w:tcPr>
          <w:p w14:paraId="5E8A4B4F" w14:textId="77777777" w:rsidR="003A7DE6" w:rsidRPr="004B465C" w:rsidRDefault="003A7DE6" w:rsidP="00464E56">
            <w:pPr>
              <w:jc w:val="center"/>
              <w:rPr>
                <w:rFonts w:asciiTheme="minorHAnsi" w:eastAsia="华文细黑" w:hAnsiTheme="minorHAnsi" w:cs="Calibri"/>
                <w:b/>
                <w:bCs/>
                <w:color w:val="FFFFFF" w:themeColor="background1"/>
                <w:sz w:val="20"/>
                <w:szCs w:val="20"/>
              </w:rPr>
            </w:pPr>
            <w:r w:rsidRPr="004B465C">
              <w:rPr>
                <w:rFonts w:asciiTheme="minorHAnsi" w:eastAsia="华文细黑" w:hAnsiTheme="minorHAnsi" w:cs="微软雅黑" w:hint="eastAsia"/>
                <w:b/>
                <w:bCs/>
                <w:color w:val="FFFFFF" w:themeColor="background1"/>
                <w:sz w:val="20"/>
                <w:szCs w:val="20"/>
              </w:rPr>
              <w:t>预计本息和</w:t>
            </w:r>
          </w:p>
        </w:tc>
        <w:tc>
          <w:tcPr>
            <w:tcW w:w="594" w:type="pct"/>
            <w:shd w:val="clear" w:color="auto" w:fill="0070C0"/>
            <w:noWrap/>
            <w:vAlign w:val="center"/>
          </w:tcPr>
          <w:p w14:paraId="7A780DA8" w14:textId="77777777" w:rsidR="003A7DE6" w:rsidRPr="004B465C" w:rsidRDefault="003A7DE6" w:rsidP="00464E56">
            <w:pPr>
              <w:jc w:val="center"/>
              <w:rPr>
                <w:rFonts w:asciiTheme="minorHAnsi" w:eastAsia="华文细黑" w:hAnsiTheme="minorHAnsi" w:cs="Calibri"/>
                <w:b/>
                <w:bCs/>
                <w:color w:val="FFFFFF" w:themeColor="background1"/>
                <w:sz w:val="20"/>
                <w:szCs w:val="20"/>
              </w:rPr>
            </w:pPr>
            <w:r w:rsidRPr="004B465C">
              <w:rPr>
                <w:rFonts w:asciiTheme="minorHAnsi" w:eastAsia="华文细黑" w:hAnsiTheme="minorHAnsi" w:cs="微软雅黑" w:hint="eastAsia"/>
                <w:b/>
                <w:bCs/>
                <w:color w:val="FFFFFF" w:themeColor="background1"/>
                <w:sz w:val="20"/>
                <w:szCs w:val="20"/>
              </w:rPr>
              <w:t>本息覆盖率</w:t>
            </w:r>
          </w:p>
        </w:tc>
        <w:tc>
          <w:tcPr>
            <w:tcW w:w="411" w:type="pct"/>
            <w:shd w:val="clear" w:color="auto" w:fill="0070C0"/>
            <w:vAlign w:val="center"/>
          </w:tcPr>
          <w:p w14:paraId="6AB0DED0" w14:textId="77777777" w:rsidR="003A7DE6" w:rsidRPr="004B465C" w:rsidRDefault="003A7DE6" w:rsidP="00464E56">
            <w:pPr>
              <w:jc w:val="center"/>
              <w:rPr>
                <w:rFonts w:asciiTheme="minorHAnsi" w:eastAsia="华文细黑" w:hAnsiTheme="minorHAnsi" w:cs="微软雅黑"/>
                <w:b/>
                <w:bCs/>
                <w:color w:val="FFFFFF" w:themeColor="background1"/>
                <w:sz w:val="20"/>
                <w:szCs w:val="20"/>
              </w:rPr>
            </w:pPr>
            <w:r w:rsidRPr="004B465C">
              <w:rPr>
                <w:rFonts w:asciiTheme="minorHAnsi" w:eastAsia="华文细黑" w:hAnsiTheme="minorHAnsi" w:cs="微软雅黑" w:hint="eastAsia"/>
                <w:b/>
                <w:bCs/>
                <w:color w:val="FFFFFF" w:themeColor="background1"/>
                <w:sz w:val="20"/>
                <w:szCs w:val="20"/>
              </w:rPr>
              <w:t>本息覆盖倍数</w:t>
            </w:r>
          </w:p>
        </w:tc>
      </w:tr>
      <w:tr w:rsidR="007D2521" w:rsidRPr="00C07604" w14:paraId="794719C3" w14:textId="77777777" w:rsidTr="007D2521">
        <w:trPr>
          <w:trHeight w:val="659"/>
          <w:jc w:val="center"/>
        </w:trPr>
        <w:tc>
          <w:tcPr>
            <w:tcW w:w="758" w:type="pct"/>
            <w:shd w:val="clear" w:color="auto" w:fill="auto"/>
            <w:vAlign w:val="center"/>
          </w:tcPr>
          <w:p w14:paraId="023CAAD0" w14:textId="77777777" w:rsidR="003A7DE6" w:rsidRPr="004B465C" w:rsidRDefault="003A7DE6" w:rsidP="00464E56">
            <w:pPr>
              <w:rPr>
                <w:rFonts w:asciiTheme="minorHAnsi" w:eastAsia="华文细黑" w:hAnsiTheme="minorHAnsi" w:cs="Calibri"/>
                <w:color w:val="000000" w:themeColor="text1"/>
                <w:sz w:val="20"/>
                <w:szCs w:val="20"/>
              </w:rPr>
            </w:pPr>
            <w:r w:rsidRPr="004B465C">
              <w:rPr>
                <w:rFonts w:asciiTheme="minorHAnsi" w:eastAsia="华文细黑" w:hAnsiTheme="minorHAnsi" w:cs="Calibri" w:hint="eastAsia"/>
                <w:color w:val="000000" w:themeColor="text1"/>
                <w:sz w:val="20"/>
                <w:szCs w:val="20"/>
              </w:rPr>
              <w:t>三亚环通工程管理有限公司专项债券项目</w:t>
            </w:r>
          </w:p>
        </w:tc>
        <w:tc>
          <w:tcPr>
            <w:tcW w:w="692" w:type="pct"/>
            <w:shd w:val="clear" w:color="auto" w:fill="auto"/>
            <w:noWrap/>
            <w:vAlign w:val="center"/>
          </w:tcPr>
          <w:p w14:paraId="6C7196B2" w14:textId="5953CCFC" w:rsidR="003A7DE6" w:rsidRPr="004B465C" w:rsidRDefault="00501B5D" w:rsidP="00464E56">
            <w:pPr>
              <w:jc w:val="center"/>
              <w:rPr>
                <w:rFonts w:asciiTheme="minorHAnsi" w:eastAsia="华文细黑" w:hAnsiTheme="minorHAnsi" w:cs="Calibri"/>
                <w:color w:val="000000" w:themeColor="text1"/>
                <w:sz w:val="20"/>
                <w:szCs w:val="20"/>
              </w:rPr>
            </w:pPr>
            <w:r w:rsidRPr="00501B5D">
              <w:rPr>
                <w:rFonts w:asciiTheme="minorHAnsi" w:eastAsia="华文细黑" w:hAnsiTheme="minorHAnsi"/>
                <w:color w:val="000000" w:themeColor="text1"/>
                <w:sz w:val="20"/>
                <w:szCs w:val="20"/>
              </w:rPr>
              <w:t>122,943.74</w:t>
            </w:r>
          </w:p>
        </w:tc>
        <w:tc>
          <w:tcPr>
            <w:tcW w:w="760" w:type="pct"/>
            <w:shd w:val="clear" w:color="auto" w:fill="auto"/>
            <w:noWrap/>
            <w:vAlign w:val="center"/>
          </w:tcPr>
          <w:p w14:paraId="5CAF2027" w14:textId="6157A341" w:rsidR="003A7DE6" w:rsidRPr="004B465C" w:rsidRDefault="00501B5D" w:rsidP="00464E56">
            <w:pPr>
              <w:jc w:val="center"/>
              <w:rPr>
                <w:rFonts w:asciiTheme="minorHAnsi" w:eastAsia="华文细黑" w:hAnsiTheme="minorHAnsi" w:cs="Calibri"/>
                <w:color w:val="000000" w:themeColor="text1"/>
                <w:sz w:val="20"/>
                <w:szCs w:val="20"/>
              </w:rPr>
            </w:pPr>
            <w:r w:rsidRPr="00501B5D">
              <w:rPr>
                <w:rFonts w:asciiTheme="minorHAnsi" w:eastAsia="华文细黑" w:hAnsiTheme="minorHAnsi" w:cs="Calibri"/>
                <w:color w:val="000000" w:themeColor="text1"/>
                <w:sz w:val="20"/>
                <w:szCs w:val="20"/>
              </w:rPr>
              <w:t>132,373.65</w:t>
            </w:r>
          </w:p>
        </w:tc>
        <w:tc>
          <w:tcPr>
            <w:tcW w:w="622" w:type="pct"/>
            <w:shd w:val="clear" w:color="auto" w:fill="auto"/>
            <w:noWrap/>
            <w:vAlign w:val="center"/>
          </w:tcPr>
          <w:p w14:paraId="457161E4" w14:textId="15A480E0" w:rsidR="003A7DE6" w:rsidRPr="004B465C" w:rsidRDefault="00501B5D" w:rsidP="00464E56">
            <w:pPr>
              <w:jc w:val="center"/>
              <w:rPr>
                <w:rFonts w:asciiTheme="minorHAnsi" w:eastAsia="华文细黑" w:hAnsiTheme="minorHAnsi" w:cs="Calibri"/>
                <w:color w:val="000000" w:themeColor="text1"/>
                <w:sz w:val="20"/>
                <w:szCs w:val="20"/>
              </w:rPr>
            </w:pPr>
            <w:r w:rsidRPr="00501B5D">
              <w:rPr>
                <w:rFonts w:asciiTheme="minorHAnsi" w:eastAsia="华文细黑" w:hAnsiTheme="minorHAnsi" w:cs="Calibri"/>
                <w:color w:val="000000" w:themeColor="text1"/>
                <w:sz w:val="20"/>
                <w:szCs w:val="20"/>
              </w:rPr>
              <w:t>67,040.00</w:t>
            </w:r>
          </w:p>
        </w:tc>
        <w:tc>
          <w:tcPr>
            <w:tcW w:w="552" w:type="pct"/>
            <w:shd w:val="clear" w:color="auto" w:fill="auto"/>
            <w:noWrap/>
            <w:vAlign w:val="center"/>
          </w:tcPr>
          <w:p w14:paraId="29C54CFC" w14:textId="5B5A8867" w:rsidR="003A7DE6" w:rsidRPr="004B465C" w:rsidRDefault="00501B5D" w:rsidP="00464E56">
            <w:pPr>
              <w:jc w:val="center"/>
              <w:rPr>
                <w:rFonts w:asciiTheme="minorHAnsi" w:eastAsia="华文细黑" w:hAnsiTheme="minorHAnsi" w:cs="Calibri"/>
                <w:color w:val="000000" w:themeColor="text1"/>
                <w:sz w:val="20"/>
                <w:szCs w:val="20"/>
              </w:rPr>
            </w:pPr>
            <w:r>
              <w:rPr>
                <w:rFonts w:asciiTheme="minorHAnsi" w:eastAsia="华文细黑" w:hAnsiTheme="minorHAnsi" w:cs="Calibri" w:hint="eastAsia"/>
                <w:color w:val="000000" w:themeColor="text1"/>
                <w:sz w:val="20"/>
                <w:szCs w:val="20"/>
              </w:rPr>
              <w:t>1,500.00</w:t>
            </w:r>
          </w:p>
        </w:tc>
        <w:tc>
          <w:tcPr>
            <w:tcW w:w="611" w:type="pct"/>
            <w:shd w:val="clear" w:color="auto" w:fill="auto"/>
            <w:noWrap/>
            <w:vAlign w:val="center"/>
          </w:tcPr>
          <w:p w14:paraId="11271B45" w14:textId="7C1CEC95" w:rsidR="003A7DE6" w:rsidRPr="004B465C" w:rsidRDefault="00501B5D" w:rsidP="00464E56">
            <w:pPr>
              <w:jc w:val="center"/>
              <w:rPr>
                <w:rFonts w:asciiTheme="minorHAnsi" w:eastAsia="华文细黑" w:hAnsiTheme="minorHAnsi" w:cs="Calibri"/>
                <w:color w:val="000000" w:themeColor="text1"/>
                <w:sz w:val="20"/>
                <w:szCs w:val="20"/>
              </w:rPr>
            </w:pPr>
            <w:r w:rsidRPr="00501B5D">
              <w:rPr>
                <w:rFonts w:asciiTheme="minorHAnsi" w:eastAsia="华文细黑" w:hAnsiTheme="minorHAnsi" w:cs="Calibri"/>
                <w:color w:val="000000" w:themeColor="text1"/>
                <w:sz w:val="20"/>
                <w:szCs w:val="20"/>
              </w:rPr>
              <w:t>91,559.52</w:t>
            </w:r>
          </w:p>
        </w:tc>
        <w:tc>
          <w:tcPr>
            <w:tcW w:w="594" w:type="pct"/>
            <w:shd w:val="clear" w:color="auto" w:fill="auto"/>
            <w:noWrap/>
            <w:vAlign w:val="center"/>
          </w:tcPr>
          <w:p w14:paraId="244DD0A1" w14:textId="160A9E95" w:rsidR="003A7DE6" w:rsidRPr="004B465C" w:rsidRDefault="00501B5D" w:rsidP="00464E56">
            <w:pPr>
              <w:jc w:val="center"/>
              <w:rPr>
                <w:rFonts w:asciiTheme="minorHAnsi" w:eastAsia="华文细黑" w:hAnsiTheme="minorHAnsi" w:cs="Calibri"/>
                <w:color w:val="000000" w:themeColor="text1"/>
                <w:sz w:val="20"/>
                <w:szCs w:val="20"/>
              </w:rPr>
            </w:pPr>
            <w:r>
              <w:rPr>
                <w:rFonts w:asciiTheme="minorHAnsi" w:eastAsia="华文细黑" w:hAnsiTheme="minorHAnsi" w:cs="Calibri" w:hint="eastAsia"/>
                <w:color w:val="000000" w:themeColor="text1"/>
                <w:sz w:val="20"/>
                <w:szCs w:val="20"/>
              </w:rPr>
              <w:t>1.50</w:t>
            </w:r>
          </w:p>
        </w:tc>
        <w:tc>
          <w:tcPr>
            <w:tcW w:w="411" w:type="pct"/>
            <w:shd w:val="clear" w:color="auto" w:fill="auto"/>
            <w:vAlign w:val="center"/>
          </w:tcPr>
          <w:p w14:paraId="58496A8E" w14:textId="4AAEB86E" w:rsidR="003A7DE6" w:rsidRPr="004B465C" w:rsidRDefault="00501B5D" w:rsidP="00464E56">
            <w:pPr>
              <w:jc w:val="center"/>
              <w:rPr>
                <w:rFonts w:asciiTheme="minorHAnsi" w:eastAsia="华文细黑" w:hAnsiTheme="minorHAnsi" w:cs="Calibri"/>
                <w:color w:val="000000" w:themeColor="text1"/>
                <w:sz w:val="20"/>
                <w:szCs w:val="20"/>
              </w:rPr>
            </w:pPr>
            <w:r>
              <w:rPr>
                <w:rFonts w:asciiTheme="minorHAnsi" w:eastAsia="华文细黑" w:hAnsiTheme="minorHAnsi" w:cs="Calibri" w:hint="eastAsia"/>
                <w:color w:val="000000" w:themeColor="text1"/>
                <w:sz w:val="20"/>
                <w:szCs w:val="20"/>
              </w:rPr>
              <w:t>1.45</w:t>
            </w:r>
          </w:p>
        </w:tc>
      </w:tr>
    </w:tbl>
    <w:p w14:paraId="63ED32CC" w14:textId="77777777" w:rsidR="000D1B9A" w:rsidRPr="007072FB" w:rsidRDefault="000D1B9A">
      <w:pPr>
        <w:ind w:right="-1141"/>
        <w:jc w:val="right"/>
        <w:rPr>
          <w:rFonts w:ascii="Verdana" w:eastAsia="华文细黑" w:hAnsi="Verdana" w:cs="Calibri"/>
          <w:color w:val="000000"/>
          <w:sz w:val="20"/>
          <w:szCs w:val="20"/>
        </w:rPr>
      </w:pPr>
    </w:p>
    <w:p w14:paraId="1DC2B92B" w14:textId="77777777" w:rsidR="000D1B9A" w:rsidRPr="007072FB" w:rsidRDefault="000D1B9A">
      <w:pPr>
        <w:spacing w:after="160" w:line="259" w:lineRule="auto"/>
        <w:rPr>
          <w:rFonts w:ascii="Verdana" w:eastAsia="华文细黑" w:hAnsi="Verdana" w:cs="Calibri"/>
          <w:color w:val="000000"/>
          <w:sz w:val="20"/>
          <w:szCs w:val="20"/>
        </w:rPr>
      </w:pPr>
    </w:p>
    <w:p w14:paraId="5246602A" w14:textId="77777777" w:rsidR="000D1B9A" w:rsidRPr="007072FB" w:rsidRDefault="00000000">
      <w:pPr>
        <w:spacing w:before="120" w:after="120" w:line="360" w:lineRule="auto"/>
        <w:jc w:val="both"/>
        <w:outlineLvl w:val="2"/>
        <w:rPr>
          <w:rFonts w:ascii="Verdana" w:eastAsia="华文细黑" w:hAnsi="Verdana" w:cs="Calibri"/>
          <w:b/>
          <w:color w:val="000000"/>
        </w:rPr>
      </w:pPr>
      <w:bookmarkStart w:id="68" w:name="_Toc135044146"/>
      <w:r w:rsidRPr="007072FB">
        <w:rPr>
          <w:rFonts w:ascii="Verdana" w:eastAsia="华文细黑" w:hAnsi="Verdana" w:cs="Calibri"/>
          <w:b/>
          <w:color w:val="000000"/>
        </w:rPr>
        <w:t>1.1</w:t>
      </w:r>
      <w:r w:rsidRPr="007072FB">
        <w:rPr>
          <w:rFonts w:ascii="Verdana" w:eastAsia="华文细黑" w:hAnsi="Verdana" w:cs="Calibri"/>
          <w:b/>
          <w:color w:val="000000"/>
        </w:rPr>
        <w:t>投资估算</w:t>
      </w:r>
      <w:bookmarkEnd w:id="68"/>
    </w:p>
    <w:p w14:paraId="70E41847" w14:textId="7B474E37" w:rsidR="000D1B9A" w:rsidRPr="007072FB" w:rsidRDefault="007D2521">
      <w:pPr>
        <w:spacing w:before="120" w:after="120" w:line="360" w:lineRule="auto"/>
        <w:ind w:firstLine="556"/>
        <w:jc w:val="both"/>
        <w:rPr>
          <w:rFonts w:ascii="Verdana" w:eastAsia="华文细黑" w:hAnsi="Verdana" w:cs="Calibri"/>
          <w:color w:val="000000"/>
        </w:rPr>
      </w:pPr>
      <w:bookmarkStart w:id="69" w:name="_Hlk150182207"/>
      <w:r w:rsidRPr="007D2521">
        <w:rPr>
          <w:rFonts w:ascii="Verdana" w:eastAsia="华文细黑" w:hAnsi="Verdana" w:cs="Calibri"/>
          <w:color w:val="000000"/>
        </w:rPr>
        <w:t>2022</w:t>
      </w:r>
      <w:r w:rsidRPr="007D2521">
        <w:rPr>
          <w:rFonts w:ascii="Verdana" w:eastAsia="华文细黑" w:hAnsi="Verdana" w:cs="Calibri" w:hint="eastAsia"/>
          <w:color w:val="000000"/>
        </w:rPr>
        <w:t>年</w:t>
      </w:r>
      <w:r w:rsidRPr="007D2521">
        <w:rPr>
          <w:rFonts w:ascii="Verdana" w:eastAsia="华文细黑" w:hAnsi="Verdana" w:cs="Calibri"/>
          <w:color w:val="000000"/>
        </w:rPr>
        <w:t>4</w:t>
      </w:r>
      <w:r w:rsidRPr="007D2521">
        <w:rPr>
          <w:rFonts w:ascii="Verdana" w:eastAsia="华文细黑" w:hAnsi="Verdana" w:cs="Calibri" w:hint="eastAsia"/>
          <w:color w:val="000000"/>
        </w:rPr>
        <w:t>月，三亚市</w:t>
      </w:r>
      <w:proofErr w:type="gramStart"/>
      <w:r w:rsidRPr="007D2521">
        <w:rPr>
          <w:rFonts w:ascii="Verdana" w:eastAsia="华文细黑" w:hAnsi="Verdana" w:cs="Calibri" w:hint="eastAsia"/>
          <w:color w:val="000000"/>
        </w:rPr>
        <w:t>农垦居</w:t>
      </w:r>
      <w:proofErr w:type="gramEnd"/>
      <w:r w:rsidRPr="007D2521">
        <w:rPr>
          <w:rFonts w:ascii="Verdana" w:eastAsia="华文细黑" w:hAnsi="Verdana" w:cs="Calibri" w:hint="eastAsia"/>
          <w:color w:val="000000"/>
        </w:rPr>
        <w:t>供水工程调增债券资金</w:t>
      </w:r>
      <w:r w:rsidRPr="007D2521">
        <w:rPr>
          <w:rFonts w:ascii="Verdana" w:eastAsia="华文细黑" w:hAnsi="Verdana" w:cs="Calibri"/>
          <w:color w:val="000000"/>
        </w:rPr>
        <w:t>4,500.00</w:t>
      </w:r>
      <w:r w:rsidRPr="007D2521">
        <w:rPr>
          <w:rFonts w:ascii="Verdana" w:eastAsia="华文细黑" w:hAnsi="Verdana" w:cs="Calibri" w:hint="eastAsia"/>
          <w:color w:val="000000"/>
        </w:rPr>
        <w:t>万元，全球生物谷（三亚）项目供水工程调增债券资金</w:t>
      </w:r>
      <w:r w:rsidRPr="007D2521">
        <w:rPr>
          <w:rFonts w:ascii="Verdana" w:eastAsia="华文细黑" w:hAnsi="Verdana" w:cs="Calibri"/>
          <w:color w:val="000000"/>
        </w:rPr>
        <w:t>1,500.00</w:t>
      </w:r>
      <w:r w:rsidRPr="007D2521">
        <w:rPr>
          <w:rFonts w:ascii="Verdana" w:eastAsia="华文细黑" w:hAnsi="Verdana" w:cs="Calibri" w:hint="eastAsia"/>
          <w:color w:val="000000"/>
        </w:rPr>
        <w:t>万元，调入存量债券资金为</w:t>
      </w:r>
      <w:r w:rsidRPr="007D2521">
        <w:rPr>
          <w:rFonts w:ascii="Verdana" w:eastAsia="华文细黑" w:hAnsi="Verdana" w:cs="Calibri"/>
          <w:color w:val="000000"/>
        </w:rPr>
        <w:t>2022</w:t>
      </w:r>
      <w:r w:rsidRPr="007D2521">
        <w:rPr>
          <w:rFonts w:ascii="Verdana" w:eastAsia="华文细黑" w:hAnsi="Verdana" w:cs="Calibri" w:hint="eastAsia"/>
          <w:color w:val="000000"/>
        </w:rPr>
        <w:t>年海南省基础设施专项债券（一期）</w:t>
      </w:r>
      <w:r w:rsidRPr="007D2521">
        <w:rPr>
          <w:rFonts w:ascii="Verdana" w:eastAsia="华文细黑" w:hAnsi="Verdana" w:cs="Calibri"/>
          <w:color w:val="000000"/>
        </w:rPr>
        <w:t>-2022</w:t>
      </w:r>
      <w:r w:rsidRPr="007D2521">
        <w:rPr>
          <w:rFonts w:ascii="Verdana" w:eastAsia="华文细黑" w:hAnsi="Verdana" w:cs="Calibri" w:hint="eastAsia"/>
          <w:color w:val="000000"/>
        </w:rPr>
        <w:t>年海南省政府专项债券（三期）利用海南</w:t>
      </w:r>
      <w:proofErr w:type="gramStart"/>
      <w:r w:rsidRPr="007D2521">
        <w:rPr>
          <w:rFonts w:ascii="Verdana" w:eastAsia="华文细黑" w:hAnsi="Verdana" w:cs="Calibri" w:hint="eastAsia"/>
          <w:color w:val="000000"/>
        </w:rPr>
        <w:t>西环高铁和货线三亚</w:t>
      </w:r>
      <w:proofErr w:type="gramEnd"/>
      <w:r w:rsidRPr="007D2521">
        <w:rPr>
          <w:rFonts w:ascii="Verdana" w:eastAsia="华文细黑" w:hAnsi="Verdana" w:cs="Calibri" w:hint="eastAsia"/>
          <w:color w:val="000000"/>
        </w:rPr>
        <w:t>至乐东（岭头）段开行公交化旅游化列车改造工程项目结余未使用的资金</w:t>
      </w:r>
      <w:r w:rsidRPr="007D2521">
        <w:rPr>
          <w:rFonts w:ascii="Verdana" w:eastAsia="华文细黑" w:hAnsi="Verdana" w:cs="Calibri"/>
          <w:color w:val="000000"/>
        </w:rPr>
        <w:t>6,000.00</w:t>
      </w:r>
      <w:r w:rsidRPr="007D2521">
        <w:rPr>
          <w:rFonts w:ascii="Verdana" w:eastAsia="华文细黑" w:hAnsi="Verdana" w:cs="Calibri" w:hint="eastAsia"/>
          <w:color w:val="000000"/>
        </w:rPr>
        <w:t>万元，债券票面利率为</w:t>
      </w:r>
      <w:r w:rsidRPr="007D2521">
        <w:rPr>
          <w:rFonts w:ascii="Verdana" w:eastAsia="华文细黑" w:hAnsi="Verdana" w:cs="Calibri"/>
          <w:color w:val="000000"/>
        </w:rPr>
        <w:t>3.05%</w:t>
      </w:r>
      <w:r w:rsidRPr="007D2521">
        <w:rPr>
          <w:rFonts w:ascii="Verdana" w:eastAsia="华文细黑" w:hAnsi="Verdana" w:cs="Calibri" w:hint="eastAsia"/>
          <w:color w:val="000000"/>
        </w:rPr>
        <w:t>，债券期限十年期。</w:t>
      </w:r>
      <w:r w:rsidRPr="007D2521">
        <w:rPr>
          <w:rFonts w:ascii="Verdana" w:eastAsia="华文细黑" w:hAnsi="Verdana" w:cs="Calibri"/>
          <w:color w:val="000000"/>
        </w:rPr>
        <w:t>2022</w:t>
      </w:r>
      <w:r w:rsidRPr="007D2521">
        <w:rPr>
          <w:rFonts w:ascii="Verdana" w:eastAsia="华文细黑" w:hAnsi="Verdana" w:cs="Calibri" w:hint="eastAsia"/>
          <w:color w:val="000000"/>
        </w:rPr>
        <w:t>年</w:t>
      </w:r>
      <w:r w:rsidRPr="007D2521">
        <w:rPr>
          <w:rFonts w:ascii="Verdana" w:eastAsia="华文细黑" w:hAnsi="Verdana" w:cs="Calibri"/>
          <w:color w:val="000000"/>
        </w:rPr>
        <w:t>6</w:t>
      </w:r>
      <w:r w:rsidRPr="007D2521">
        <w:rPr>
          <w:rFonts w:ascii="Verdana" w:eastAsia="华文细黑" w:hAnsi="Verdana" w:cs="Calibri" w:hint="eastAsia"/>
          <w:color w:val="000000"/>
        </w:rPr>
        <w:t>月，</w:t>
      </w:r>
      <w:r w:rsidRPr="007D2521">
        <w:rPr>
          <w:rFonts w:ascii="Verdana" w:eastAsia="华文细黑" w:hAnsi="Verdana" w:cs="Calibri"/>
          <w:color w:val="000000"/>
        </w:rPr>
        <w:t>2022</w:t>
      </w:r>
      <w:r w:rsidRPr="007D2521">
        <w:rPr>
          <w:rFonts w:ascii="Verdana" w:eastAsia="华文细黑" w:hAnsi="Verdana" w:cs="Calibri" w:hint="eastAsia"/>
          <w:color w:val="000000"/>
        </w:rPr>
        <w:t>年海南省六水共治专项债券（一期）</w:t>
      </w:r>
      <w:r w:rsidRPr="007D2521">
        <w:rPr>
          <w:rFonts w:ascii="Verdana" w:eastAsia="华文细黑" w:hAnsi="Verdana" w:cs="Calibri"/>
          <w:color w:val="000000"/>
        </w:rPr>
        <w:t>-2022</w:t>
      </w:r>
      <w:r w:rsidRPr="007D2521">
        <w:rPr>
          <w:rFonts w:ascii="Verdana" w:eastAsia="华文细黑" w:hAnsi="Verdana" w:cs="Calibri" w:hint="eastAsia"/>
          <w:color w:val="000000"/>
        </w:rPr>
        <w:t>年海南省政府专项债券（十五期）已发行</w:t>
      </w:r>
      <w:r w:rsidRPr="007D2521">
        <w:rPr>
          <w:rFonts w:ascii="Verdana" w:eastAsia="华文细黑" w:hAnsi="Verdana" w:cs="Calibri"/>
          <w:color w:val="000000"/>
        </w:rPr>
        <w:t>2,400.00</w:t>
      </w:r>
      <w:r w:rsidRPr="007D2521">
        <w:rPr>
          <w:rFonts w:ascii="Verdana" w:eastAsia="华文细黑" w:hAnsi="Verdana" w:cs="Calibri" w:hint="eastAsia"/>
          <w:color w:val="000000"/>
        </w:rPr>
        <w:t>万元，债券票面利率为</w:t>
      </w:r>
      <w:r w:rsidRPr="007D2521">
        <w:rPr>
          <w:rFonts w:ascii="Verdana" w:eastAsia="华文细黑" w:hAnsi="Verdana" w:cs="Calibri"/>
          <w:color w:val="000000"/>
        </w:rPr>
        <w:t>2.93%</w:t>
      </w:r>
      <w:r w:rsidRPr="007D2521">
        <w:rPr>
          <w:rFonts w:ascii="Verdana" w:eastAsia="华文细黑" w:hAnsi="Verdana" w:cs="Calibri" w:hint="eastAsia"/>
          <w:color w:val="000000"/>
        </w:rPr>
        <w:t>，债券期限十年期；</w:t>
      </w:r>
      <w:r w:rsidRPr="007D2521">
        <w:rPr>
          <w:rFonts w:ascii="Verdana" w:eastAsia="华文细黑" w:hAnsi="Verdana" w:cs="Calibri"/>
          <w:color w:val="000000"/>
        </w:rPr>
        <w:t>2022</w:t>
      </w:r>
      <w:r w:rsidRPr="007D2521">
        <w:rPr>
          <w:rFonts w:ascii="Verdana" w:eastAsia="华文细黑" w:hAnsi="Verdana" w:cs="Calibri" w:hint="eastAsia"/>
          <w:color w:val="000000"/>
        </w:rPr>
        <w:t>年</w:t>
      </w:r>
      <w:r w:rsidRPr="007D2521">
        <w:rPr>
          <w:rFonts w:ascii="Verdana" w:eastAsia="华文细黑" w:hAnsi="Verdana" w:cs="Calibri"/>
          <w:color w:val="000000"/>
        </w:rPr>
        <w:t>10</w:t>
      </w:r>
      <w:r w:rsidRPr="007D2521">
        <w:rPr>
          <w:rFonts w:ascii="Verdana" w:eastAsia="华文细黑" w:hAnsi="Verdana" w:cs="Calibri" w:hint="eastAsia"/>
          <w:color w:val="000000"/>
        </w:rPr>
        <w:t>月，三亚市鹿回头及</w:t>
      </w:r>
      <w:proofErr w:type="gramStart"/>
      <w:r w:rsidRPr="007D2521">
        <w:rPr>
          <w:rFonts w:ascii="Verdana" w:eastAsia="华文细黑" w:hAnsi="Verdana" w:cs="Calibri" w:hint="eastAsia"/>
          <w:color w:val="000000"/>
        </w:rPr>
        <w:t>红沙南片区</w:t>
      </w:r>
      <w:proofErr w:type="gramEnd"/>
      <w:r w:rsidRPr="007D2521">
        <w:rPr>
          <w:rFonts w:ascii="Verdana" w:eastAsia="华文细黑" w:hAnsi="Verdana" w:cs="Calibri" w:hint="eastAsia"/>
          <w:color w:val="000000"/>
        </w:rPr>
        <w:t>排水管网提质增效工程调增债券资金</w:t>
      </w:r>
      <w:r w:rsidRPr="007D2521">
        <w:rPr>
          <w:rFonts w:ascii="Verdana" w:eastAsia="华文细黑" w:hAnsi="Verdana" w:cs="Calibri"/>
          <w:color w:val="000000"/>
        </w:rPr>
        <w:t>1,000.00</w:t>
      </w:r>
      <w:r w:rsidRPr="007D2521">
        <w:rPr>
          <w:rFonts w:ascii="Verdana" w:eastAsia="华文细黑" w:hAnsi="Verdana" w:cs="Calibri" w:hint="eastAsia"/>
          <w:color w:val="000000"/>
        </w:rPr>
        <w:t>万元，调入存量债券资金为</w:t>
      </w:r>
      <w:r w:rsidRPr="007D2521">
        <w:rPr>
          <w:rFonts w:ascii="Verdana" w:eastAsia="华文细黑" w:hAnsi="Verdana" w:cs="Calibri"/>
          <w:color w:val="000000"/>
        </w:rPr>
        <w:t>2022</w:t>
      </w:r>
      <w:r w:rsidRPr="007D2521">
        <w:rPr>
          <w:rFonts w:ascii="Verdana" w:eastAsia="华文细黑" w:hAnsi="Verdana" w:cs="Calibri" w:hint="eastAsia"/>
          <w:color w:val="000000"/>
        </w:rPr>
        <w:t>年海南省基础设施专项债券（五期）</w:t>
      </w:r>
      <w:r w:rsidRPr="007D2521">
        <w:rPr>
          <w:rFonts w:ascii="Verdana" w:eastAsia="华文细黑" w:hAnsi="Verdana" w:cs="Calibri"/>
          <w:color w:val="000000"/>
        </w:rPr>
        <w:t>-2022</w:t>
      </w:r>
      <w:r w:rsidRPr="007D2521">
        <w:rPr>
          <w:rFonts w:ascii="Verdana" w:eastAsia="华文细黑" w:hAnsi="Verdana" w:cs="Calibri" w:hint="eastAsia"/>
          <w:color w:val="000000"/>
        </w:rPr>
        <w:t>年海南省政府专项债券（十三期）三亚国际邮件快件跨境电商物流监管中心项目结余未使用的资金</w:t>
      </w:r>
      <w:r w:rsidRPr="007D2521">
        <w:rPr>
          <w:rFonts w:ascii="Verdana" w:eastAsia="华文细黑" w:hAnsi="Verdana" w:cs="Calibri"/>
          <w:color w:val="000000"/>
        </w:rPr>
        <w:t>1,000.00</w:t>
      </w:r>
      <w:r w:rsidRPr="007D2521">
        <w:rPr>
          <w:rFonts w:ascii="Verdana" w:eastAsia="华文细黑" w:hAnsi="Verdana" w:cs="Calibri" w:hint="eastAsia"/>
          <w:color w:val="000000"/>
        </w:rPr>
        <w:t>万元，债券票面利率为</w:t>
      </w:r>
      <w:r w:rsidRPr="007D2521">
        <w:rPr>
          <w:rFonts w:ascii="Verdana" w:eastAsia="华文细黑" w:hAnsi="Verdana" w:cs="Calibri"/>
          <w:color w:val="000000"/>
        </w:rPr>
        <w:t>2.93%</w:t>
      </w:r>
      <w:r w:rsidRPr="007D2521">
        <w:rPr>
          <w:rFonts w:ascii="Verdana" w:eastAsia="华文细黑" w:hAnsi="Verdana" w:cs="Calibri" w:hint="eastAsia"/>
          <w:color w:val="000000"/>
        </w:rPr>
        <w:t>，债券期限十年期；</w:t>
      </w:r>
      <w:r w:rsidRPr="007D2521">
        <w:rPr>
          <w:rFonts w:ascii="Verdana" w:eastAsia="华文细黑" w:hAnsi="Verdana" w:cs="Calibri"/>
          <w:color w:val="000000"/>
        </w:rPr>
        <w:t>2022</w:t>
      </w:r>
      <w:r w:rsidRPr="007D2521">
        <w:rPr>
          <w:rFonts w:ascii="Verdana" w:eastAsia="华文细黑" w:hAnsi="Verdana" w:cs="Calibri" w:hint="eastAsia"/>
          <w:color w:val="000000"/>
        </w:rPr>
        <w:t>年</w:t>
      </w:r>
      <w:r w:rsidRPr="007D2521">
        <w:rPr>
          <w:rFonts w:ascii="Verdana" w:eastAsia="华文细黑" w:hAnsi="Verdana" w:cs="Calibri"/>
          <w:color w:val="000000"/>
        </w:rPr>
        <w:t>11</w:t>
      </w:r>
      <w:r w:rsidRPr="007D2521">
        <w:rPr>
          <w:rFonts w:ascii="Verdana" w:eastAsia="华文细黑" w:hAnsi="Verdana" w:cs="Calibri" w:hint="eastAsia"/>
          <w:color w:val="000000"/>
        </w:rPr>
        <w:t>月，</w:t>
      </w:r>
      <w:r w:rsidRPr="007D2521">
        <w:rPr>
          <w:rFonts w:ascii="Verdana" w:eastAsia="华文细黑" w:hAnsi="Verdana" w:cs="Calibri"/>
          <w:color w:val="000000"/>
        </w:rPr>
        <w:t>2022</w:t>
      </w:r>
      <w:r w:rsidRPr="007D2521">
        <w:rPr>
          <w:rFonts w:ascii="Verdana" w:eastAsia="华文细黑" w:hAnsi="Verdana" w:cs="Calibri" w:hint="eastAsia"/>
          <w:color w:val="000000"/>
        </w:rPr>
        <w:t>年海南省六水共治专项债券（二期）</w:t>
      </w:r>
      <w:r w:rsidRPr="007D2521">
        <w:rPr>
          <w:rFonts w:ascii="Verdana" w:eastAsia="华文细黑" w:hAnsi="Verdana" w:cs="Calibri"/>
          <w:color w:val="000000"/>
        </w:rPr>
        <w:t>-2022</w:t>
      </w:r>
      <w:r w:rsidRPr="007D2521">
        <w:rPr>
          <w:rFonts w:ascii="Verdana" w:eastAsia="华文细黑" w:hAnsi="Verdana" w:cs="Calibri" w:hint="eastAsia"/>
          <w:color w:val="000000"/>
        </w:rPr>
        <w:t>年海南省政府专项债券（二十三期）已发行</w:t>
      </w:r>
      <w:r w:rsidRPr="007D2521">
        <w:rPr>
          <w:rFonts w:ascii="Verdana" w:eastAsia="华文细黑" w:hAnsi="Verdana" w:cs="Calibri"/>
          <w:color w:val="000000"/>
        </w:rPr>
        <w:t>31,000.00</w:t>
      </w:r>
      <w:r w:rsidRPr="007D2521">
        <w:rPr>
          <w:rFonts w:ascii="Verdana" w:eastAsia="华文细黑" w:hAnsi="Verdana" w:cs="Calibri" w:hint="eastAsia"/>
          <w:color w:val="000000"/>
        </w:rPr>
        <w:t>万元，债券票面利率为</w:t>
      </w:r>
      <w:r w:rsidRPr="007D2521">
        <w:rPr>
          <w:rFonts w:ascii="Verdana" w:eastAsia="华文细黑" w:hAnsi="Verdana" w:cs="Calibri"/>
          <w:color w:val="000000"/>
        </w:rPr>
        <w:t>3.07%</w:t>
      </w:r>
      <w:r w:rsidRPr="007D2521">
        <w:rPr>
          <w:rFonts w:ascii="Verdana" w:eastAsia="华文细黑" w:hAnsi="Verdana" w:cs="Calibri" w:hint="eastAsia"/>
          <w:color w:val="000000"/>
        </w:rPr>
        <w:t>，债券期限十五年期；</w:t>
      </w:r>
      <w:r w:rsidRPr="007D2521">
        <w:rPr>
          <w:rFonts w:ascii="Verdana" w:eastAsia="华文细黑" w:hAnsi="Verdana" w:cs="Calibri"/>
          <w:color w:val="000000"/>
        </w:rPr>
        <w:t>2023</w:t>
      </w:r>
      <w:r w:rsidRPr="007D2521">
        <w:rPr>
          <w:rFonts w:ascii="Verdana" w:eastAsia="华文细黑" w:hAnsi="Verdana" w:cs="Calibri" w:hint="eastAsia"/>
          <w:color w:val="000000"/>
        </w:rPr>
        <w:t>年</w:t>
      </w:r>
      <w:r w:rsidRPr="007D2521">
        <w:rPr>
          <w:rFonts w:ascii="Verdana" w:eastAsia="华文细黑" w:hAnsi="Verdana" w:cs="Calibri"/>
          <w:color w:val="000000"/>
        </w:rPr>
        <w:t>2</w:t>
      </w:r>
      <w:r w:rsidRPr="007D2521">
        <w:rPr>
          <w:rFonts w:ascii="Verdana" w:eastAsia="华文细黑" w:hAnsi="Verdana" w:cs="Calibri" w:hint="eastAsia"/>
          <w:color w:val="000000"/>
        </w:rPr>
        <w:t>月，</w:t>
      </w:r>
      <w:r w:rsidRPr="007D2521">
        <w:rPr>
          <w:rFonts w:ascii="Verdana" w:eastAsia="华文细黑" w:hAnsi="Verdana" w:cs="Calibri"/>
          <w:color w:val="000000"/>
        </w:rPr>
        <w:t>2023</w:t>
      </w:r>
      <w:r w:rsidRPr="007D2521">
        <w:rPr>
          <w:rFonts w:ascii="Verdana" w:eastAsia="华文细黑" w:hAnsi="Verdana" w:cs="Calibri" w:hint="eastAsia"/>
          <w:color w:val="000000"/>
        </w:rPr>
        <w:t>年海南省政府专项债券（二期）</w:t>
      </w:r>
      <w:r w:rsidRPr="007D2521">
        <w:rPr>
          <w:rFonts w:ascii="Verdana" w:eastAsia="华文细黑" w:hAnsi="Verdana" w:cs="Calibri"/>
          <w:color w:val="000000"/>
        </w:rPr>
        <w:t>-2023</w:t>
      </w:r>
      <w:r w:rsidRPr="007D2521">
        <w:rPr>
          <w:rFonts w:ascii="Verdana" w:eastAsia="华文细黑" w:hAnsi="Verdana" w:cs="Calibri" w:hint="eastAsia"/>
          <w:color w:val="000000"/>
        </w:rPr>
        <w:t>年三亚市政府专项债券（一期）已发行</w:t>
      </w:r>
      <w:r w:rsidRPr="007D2521">
        <w:rPr>
          <w:rFonts w:ascii="Verdana" w:eastAsia="华文细黑" w:hAnsi="Verdana" w:cs="Calibri"/>
          <w:color w:val="000000"/>
        </w:rPr>
        <w:t>2,000.00</w:t>
      </w:r>
      <w:r w:rsidRPr="007D2521">
        <w:rPr>
          <w:rFonts w:ascii="Verdana" w:eastAsia="华文细黑" w:hAnsi="Verdana" w:cs="Calibri" w:hint="eastAsia"/>
          <w:color w:val="000000"/>
        </w:rPr>
        <w:t>万元，债券票面利率为</w:t>
      </w:r>
      <w:r w:rsidRPr="007D2521">
        <w:rPr>
          <w:rFonts w:ascii="Verdana" w:eastAsia="华文细黑" w:hAnsi="Verdana" w:cs="Calibri"/>
          <w:color w:val="000000"/>
        </w:rPr>
        <w:t>3.06%</w:t>
      </w:r>
      <w:r w:rsidRPr="007D2521">
        <w:rPr>
          <w:rFonts w:ascii="Verdana" w:eastAsia="华文细黑" w:hAnsi="Verdana" w:cs="Calibri" w:hint="eastAsia"/>
          <w:color w:val="000000"/>
        </w:rPr>
        <w:t>，债券期限十年；</w:t>
      </w:r>
      <w:r w:rsidRPr="007D2521">
        <w:rPr>
          <w:rFonts w:ascii="Verdana" w:eastAsia="华文细黑" w:hAnsi="Verdana" w:cs="Calibri"/>
          <w:color w:val="000000"/>
        </w:rPr>
        <w:t>2023</w:t>
      </w:r>
      <w:r w:rsidRPr="007D2521">
        <w:rPr>
          <w:rFonts w:ascii="Verdana" w:eastAsia="华文细黑" w:hAnsi="Verdana" w:cs="Calibri" w:hint="eastAsia"/>
          <w:color w:val="000000"/>
        </w:rPr>
        <w:t>年</w:t>
      </w:r>
      <w:r w:rsidRPr="007D2521">
        <w:rPr>
          <w:rFonts w:ascii="Verdana" w:eastAsia="华文细黑" w:hAnsi="Verdana" w:cs="Calibri"/>
          <w:color w:val="000000"/>
        </w:rPr>
        <w:t>3</w:t>
      </w:r>
      <w:r w:rsidRPr="007D2521">
        <w:rPr>
          <w:rFonts w:ascii="Verdana" w:eastAsia="华文细黑" w:hAnsi="Verdana" w:cs="Calibri" w:hint="eastAsia"/>
          <w:color w:val="000000"/>
        </w:rPr>
        <w:t>月，</w:t>
      </w:r>
      <w:proofErr w:type="gramStart"/>
      <w:r w:rsidRPr="007D2521">
        <w:rPr>
          <w:rFonts w:ascii="Verdana" w:eastAsia="华文细黑" w:hAnsi="Verdana" w:cs="Calibri" w:hint="eastAsia"/>
          <w:color w:val="000000"/>
        </w:rPr>
        <w:t>三亚市月川片区</w:t>
      </w:r>
      <w:proofErr w:type="gramEnd"/>
      <w:r w:rsidRPr="007D2521">
        <w:rPr>
          <w:rFonts w:ascii="Verdana" w:eastAsia="华文细黑" w:hAnsi="Verdana" w:cs="Calibri" w:hint="eastAsia"/>
          <w:color w:val="000000"/>
        </w:rPr>
        <w:t>排水管网提质增效工程调增债券资金</w:t>
      </w:r>
      <w:r w:rsidRPr="007D2521">
        <w:rPr>
          <w:rFonts w:ascii="Verdana" w:eastAsia="华文细黑" w:hAnsi="Verdana" w:cs="Calibri"/>
          <w:color w:val="000000"/>
        </w:rPr>
        <w:t>1,440.00</w:t>
      </w:r>
      <w:r w:rsidRPr="007D2521">
        <w:rPr>
          <w:rFonts w:ascii="Verdana" w:eastAsia="华文细黑" w:hAnsi="Verdana" w:cs="Calibri" w:hint="eastAsia"/>
          <w:color w:val="000000"/>
        </w:rPr>
        <w:t>万元，调入存量债券资金为</w:t>
      </w:r>
      <w:r w:rsidRPr="007D2521">
        <w:rPr>
          <w:rFonts w:ascii="Verdana" w:eastAsia="华文细黑" w:hAnsi="Verdana" w:cs="Calibri"/>
          <w:color w:val="000000"/>
        </w:rPr>
        <w:t>2023</w:t>
      </w:r>
      <w:r w:rsidRPr="007D2521">
        <w:rPr>
          <w:rFonts w:ascii="Verdana" w:eastAsia="华文细黑" w:hAnsi="Verdana" w:cs="Calibri" w:hint="eastAsia"/>
          <w:color w:val="000000"/>
        </w:rPr>
        <w:t>年海南省政府专项债券（二期）</w:t>
      </w:r>
      <w:r w:rsidRPr="007D2521">
        <w:rPr>
          <w:rFonts w:ascii="Verdana" w:eastAsia="华文细黑" w:hAnsi="Verdana" w:cs="Calibri"/>
          <w:color w:val="000000"/>
        </w:rPr>
        <w:t>-2023</w:t>
      </w:r>
      <w:r w:rsidRPr="007D2521">
        <w:rPr>
          <w:rFonts w:ascii="Verdana" w:eastAsia="华文细黑" w:hAnsi="Verdana" w:cs="Calibri" w:hint="eastAsia"/>
          <w:color w:val="000000"/>
        </w:rPr>
        <w:t>年三亚市政府专项债券（一期）三亚崖州湾深海科技城智慧综合能源服务项目结余未使用的资金</w:t>
      </w:r>
      <w:r w:rsidRPr="007D2521">
        <w:rPr>
          <w:rFonts w:ascii="Verdana" w:eastAsia="华文细黑" w:hAnsi="Verdana" w:cs="Calibri"/>
          <w:color w:val="000000"/>
        </w:rPr>
        <w:t>1,440.00</w:t>
      </w:r>
      <w:r w:rsidRPr="007D2521">
        <w:rPr>
          <w:rFonts w:ascii="Verdana" w:eastAsia="华文细黑" w:hAnsi="Verdana" w:cs="Calibri" w:hint="eastAsia"/>
          <w:color w:val="000000"/>
        </w:rPr>
        <w:t>万元，债券票面利率为</w:t>
      </w:r>
      <w:r w:rsidRPr="007D2521">
        <w:rPr>
          <w:rFonts w:ascii="Verdana" w:eastAsia="华文细黑" w:hAnsi="Verdana" w:cs="Calibri"/>
          <w:color w:val="000000"/>
        </w:rPr>
        <w:t>3.06%</w:t>
      </w:r>
      <w:r w:rsidRPr="007D2521">
        <w:rPr>
          <w:rFonts w:ascii="Verdana" w:eastAsia="华文细黑" w:hAnsi="Verdana" w:cs="Calibri" w:hint="eastAsia"/>
          <w:color w:val="000000"/>
        </w:rPr>
        <w:t>，</w:t>
      </w:r>
      <w:r w:rsidRPr="007D2521">
        <w:rPr>
          <w:rFonts w:ascii="Verdana" w:eastAsia="华文细黑" w:hAnsi="Verdana" w:cs="Calibri" w:hint="eastAsia"/>
          <w:color w:val="000000"/>
        </w:rPr>
        <w:lastRenderedPageBreak/>
        <w:t>债券期限十年期；</w:t>
      </w:r>
      <w:r w:rsidRPr="007D2521">
        <w:rPr>
          <w:rFonts w:ascii="Verdana" w:eastAsia="华文细黑" w:hAnsi="Verdana" w:cs="Calibri"/>
          <w:color w:val="000000"/>
        </w:rPr>
        <w:t>2023</w:t>
      </w:r>
      <w:r w:rsidRPr="007D2521">
        <w:rPr>
          <w:rFonts w:ascii="Verdana" w:eastAsia="华文细黑" w:hAnsi="Verdana" w:cs="Calibri" w:hint="eastAsia"/>
          <w:color w:val="000000"/>
        </w:rPr>
        <w:t>年</w:t>
      </w:r>
      <w:r w:rsidRPr="007D2521">
        <w:rPr>
          <w:rFonts w:ascii="Verdana" w:eastAsia="华文细黑" w:hAnsi="Verdana" w:cs="Calibri"/>
          <w:color w:val="000000"/>
        </w:rPr>
        <w:t>8</w:t>
      </w:r>
      <w:r w:rsidRPr="007D2521">
        <w:rPr>
          <w:rFonts w:ascii="Verdana" w:eastAsia="华文细黑" w:hAnsi="Verdana" w:cs="Calibri" w:hint="eastAsia"/>
          <w:color w:val="000000"/>
        </w:rPr>
        <w:t>月</w:t>
      </w:r>
      <w:r>
        <w:rPr>
          <w:rStyle w:val="afe"/>
          <w:rFonts w:ascii="Verdana" w:eastAsia="华文细黑" w:hAnsi="Verdana" w:cs="Calibri"/>
          <w:color w:val="000000"/>
        </w:rPr>
        <w:footnoteReference w:id="3"/>
      </w:r>
      <w:r w:rsidRPr="007D2521">
        <w:rPr>
          <w:rFonts w:ascii="Verdana" w:eastAsia="华文细黑" w:hAnsi="Verdana" w:cs="Calibri"/>
          <w:color w:val="000000"/>
        </w:rPr>
        <w:t xml:space="preserve"> </w:t>
      </w:r>
      <w:r w:rsidRPr="007D2521">
        <w:rPr>
          <w:rFonts w:ascii="Verdana" w:eastAsia="华文细黑" w:hAnsi="Verdana" w:cs="Calibri" w:hint="eastAsia"/>
          <w:color w:val="000000"/>
        </w:rPr>
        <w:t>已发行境外蓝色债券</w:t>
      </w:r>
      <w:r w:rsidRPr="007D2521">
        <w:rPr>
          <w:rFonts w:ascii="Verdana" w:eastAsia="华文细黑" w:hAnsi="Verdana" w:cs="Calibri"/>
          <w:color w:val="000000"/>
        </w:rPr>
        <w:t>15,900.00</w:t>
      </w:r>
      <w:r w:rsidRPr="007D2521">
        <w:rPr>
          <w:rFonts w:ascii="Verdana" w:eastAsia="华文细黑" w:hAnsi="Verdana" w:cs="Calibri" w:hint="eastAsia"/>
          <w:color w:val="000000"/>
        </w:rPr>
        <w:t>万元，债券利率为</w:t>
      </w:r>
      <w:r w:rsidRPr="007D2521">
        <w:rPr>
          <w:rFonts w:ascii="Verdana" w:eastAsia="华文细黑" w:hAnsi="Verdana" w:cs="Calibri"/>
          <w:color w:val="000000"/>
        </w:rPr>
        <w:t>2.70%</w:t>
      </w:r>
      <w:r w:rsidRPr="007D2521">
        <w:rPr>
          <w:rFonts w:ascii="Verdana" w:eastAsia="华文细黑" w:hAnsi="Verdana" w:cs="Calibri" w:hint="eastAsia"/>
          <w:color w:val="000000"/>
        </w:rPr>
        <w:t>，债券期限为五年期；</w:t>
      </w:r>
      <w:r w:rsidRPr="007D2521">
        <w:rPr>
          <w:rFonts w:ascii="Verdana" w:eastAsia="华文细黑" w:hAnsi="Verdana" w:cs="Calibri"/>
          <w:color w:val="000000"/>
        </w:rPr>
        <w:t>2023</w:t>
      </w:r>
      <w:r w:rsidRPr="007D2521">
        <w:rPr>
          <w:rFonts w:ascii="Verdana" w:eastAsia="华文细黑" w:hAnsi="Verdana" w:cs="Calibri" w:hint="eastAsia"/>
          <w:color w:val="000000"/>
        </w:rPr>
        <w:t>年</w:t>
      </w:r>
      <w:r w:rsidRPr="007D2521">
        <w:rPr>
          <w:rFonts w:ascii="Verdana" w:eastAsia="华文细黑" w:hAnsi="Verdana" w:cs="Calibri"/>
          <w:color w:val="000000"/>
        </w:rPr>
        <w:t>9</w:t>
      </w:r>
      <w:r w:rsidRPr="007D2521">
        <w:rPr>
          <w:rFonts w:ascii="Verdana" w:eastAsia="华文细黑" w:hAnsi="Verdana" w:cs="Calibri" w:hint="eastAsia"/>
          <w:color w:val="000000"/>
        </w:rPr>
        <w:t>月已发行境内债专项债券</w:t>
      </w:r>
      <w:r w:rsidRPr="007D2521">
        <w:rPr>
          <w:rFonts w:ascii="Verdana" w:eastAsia="华文细黑" w:hAnsi="Verdana" w:cs="Calibri"/>
          <w:color w:val="000000"/>
        </w:rPr>
        <w:t>4,300.00</w:t>
      </w:r>
      <w:r w:rsidRPr="007D2521">
        <w:rPr>
          <w:rFonts w:ascii="Verdana" w:eastAsia="华文细黑" w:hAnsi="Verdana" w:cs="Calibri" w:hint="eastAsia"/>
          <w:color w:val="000000"/>
        </w:rPr>
        <w:t>万元，债券利率为</w:t>
      </w:r>
      <w:r w:rsidRPr="007D2521">
        <w:rPr>
          <w:rFonts w:ascii="Verdana" w:eastAsia="华文细黑" w:hAnsi="Verdana" w:cs="Calibri"/>
          <w:color w:val="000000"/>
        </w:rPr>
        <w:t>2.93%</w:t>
      </w:r>
      <w:r w:rsidRPr="007D2521">
        <w:rPr>
          <w:rFonts w:ascii="Verdana" w:eastAsia="华文细黑" w:hAnsi="Verdana" w:cs="Calibri" w:hint="eastAsia"/>
          <w:color w:val="000000"/>
        </w:rPr>
        <w:t>，债券期限十年期；</w:t>
      </w:r>
      <w:r w:rsidRPr="007D2521">
        <w:rPr>
          <w:rFonts w:ascii="Verdana" w:eastAsia="华文细黑" w:hAnsi="Verdana" w:cs="Calibri"/>
          <w:color w:val="000000"/>
        </w:rPr>
        <w:t>2023</w:t>
      </w:r>
      <w:r w:rsidRPr="007D2521">
        <w:rPr>
          <w:rFonts w:ascii="Verdana" w:eastAsia="华文细黑" w:hAnsi="Verdana" w:cs="Calibri" w:hint="eastAsia"/>
          <w:color w:val="000000"/>
        </w:rPr>
        <w:t>年</w:t>
      </w:r>
      <w:r w:rsidRPr="007D2521">
        <w:rPr>
          <w:rFonts w:ascii="Verdana" w:eastAsia="华文细黑" w:hAnsi="Verdana" w:cs="Calibri"/>
          <w:color w:val="000000"/>
        </w:rPr>
        <w:t>11</w:t>
      </w:r>
      <w:r w:rsidRPr="007D2521">
        <w:rPr>
          <w:rFonts w:ascii="Verdana" w:eastAsia="华文细黑" w:hAnsi="Verdana" w:cs="Calibri" w:hint="eastAsia"/>
          <w:color w:val="000000"/>
        </w:rPr>
        <w:t>月调增专项债券</w:t>
      </w:r>
      <w:r w:rsidRPr="007D2521">
        <w:rPr>
          <w:rFonts w:ascii="Verdana" w:eastAsia="华文细黑" w:hAnsi="Verdana" w:cs="Calibri"/>
          <w:color w:val="000000"/>
        </w:rPr>
        <w:t>1,000.00</w:t>
      </w:r>
      <w:r w:rsidRPr="007D2521">
        <w:rPr>
          <w:rFonts w:ascii="Verdana" w:eastAsia="华文细黑" w:hAnsi="Verdana" w:cs="Calibri" w:hint="eastAsia"/>
          <w:color w:val="000000"/>
        </w:rPr>
        <w:t>万元，债券利率为</w:t>
      </w:r>
      <w:r w:rsidRPr="007D2521">
        <w:rPr>
          <w:rFonts w:ascii="Verdana" w:eastAsia="华文细黑" w:hAnsi="Verdana" w:cs="Calibri"/>
          <w:color w:val="000000"/>
        </w:rPr>
        <w:t>2.93%</w:t>
      </w:r>
      <w:r w:rsidRPr="007D2521">
        <w:rPr>
          <w:rFonts w:ascii="Verdana" w:eastAsia="华文细黑" w:hAnsi="Verdana" w:cs="Calibri" w:hint="eastAsia"/>
          <w:color w:val="000000"/>
        </w:rPr>
        <w:t>，债券期限十年期（</w:t>
      </w:r>
      <w:r w:rsidRPr="007D2521">
        <w:rPr>
          <w:rFonts w:ascii="Verdana" w:eastAsia="华文细黑" w:hAnsi="Verdana" w:cs="Calibri"/>
          <w:color w:val="000000"/>
        </w:rPr>
        <w:t>2023</w:t>
      </w:r>
      <w:r w:rsidRPr="007D2521">
        <w:rPr>
          <w:rFonts w:ascii="Verdana" w:eastAsia="华文细黑" w:hAnsi="Verdana" w:cs="Calibri" w:hint="eastAsia"/>
          <w:color w:val="000000"/>
        </w:rPr>
        <w:t>年</w:t>
      </w:r>
      <w:r w:rsidRPr="007D2521">
        <w:rPr>
          <w:rFonts w:ascii="Verdana" w:eastAsia="华文细黑" w:hAnsi="Verdana" w:cs="Calibri"/>
          <w:color w:val="000000"/>
        </w:rPr>
        <w:t>11</w:t>
      </w:r>
      <w:r w:rsidRPr="007D2521">
        <w:rPr>
          <w:rFonts w:ascii="Verdana" w:eastAsia="华文细黑" w:hAnsi="Verdana" w:cs="Calibri" w:hint="eastAsia"/>
          <w:color w:val="000000"/>
        </w:rPr>
        <w:t>月三亚市抱坡溪东片区排水管网提质增效工程调减债券</w:t>
      </w:r>
      <w:r w:rsidRPr="007D2521">
        <w:rPr>
          <w:rFonts w:ascii="Verdana" w:eastAsia="华文细黑" w:hAnsi="Verdana" w:cs="Calibri"/>
          <w:color w:val="000000"/>
        </w:rPr>
        <w:t>1,800.00</w:t>
      </w:r>
      <w:r w:rsidRPr="007D2521">
        <w:rPr>
          <w:rFonts w:ascii="Verdana" w:eastAsia="华文细黑" w:hAnsi="Verdana" w:cs="Calibri" w:hint="eastAsia"/>
          <w:color w:val="000000"/>
        </w:rPr>
        <w:t>万元，三亚市河东片区及临春片区排水管网提质增效工程调减债券</w:t>
      </w:r>
      <w:r w:rsidRPr="007D2521">
        <w:rPr>
          <w:rFonts w:ascii="Verdana" w:eastAsia="华文细黑" w:hAnsi="Verdana" w:cs="Calibri"/>
          <w:color w:val="000000"/>
        </w:rPr>
        <w:t>700.00</w:t>
      </w:r>
      <w:r w:rsidRPr="007D2521">
        <w:rPr>
          <w:rFonts w:ascii="Verdana" w:eastAsia="华文细黑" w:hAnsi="Verdana" w:cs="Calibri" w:hint="eastAsia"/>
          <w:color w:val="000000"/>
        </w:rPr>
        <w:t>万元）；</w:t>
      </w:r>
      <w:r w:rsidRPr="007D2521">
        <w:rPr>
          <w:rFonts w:ascii="Verdana" w:eastAsia="华文细黑" w:hAnsi="Verdana" w:cs="Calibri"/>
          <w:color w:val="000000"/>
        </w:rPr>
        <w:t>2024</w:t>
      </w:r>
      <w:r w:rsidRPr="007D2521">
        <w:rPr>
          <w:rFonts w:ascii="Verdana" w:eastAsia="华文细黑" w:hAnsi="Verdana" w:cs="Calibri" w:hint="eastAsia"/>
          <w:color w:val="000000"/>
        </w:rPr>
        <w:t>年</w:t>
      </w:r>
      <w:r w:rsidRPr="007D2521">
        <w:rPr>
          <w:rFonts w:ascii="Verdana" w:eastAsia="华文细黑" w:hAnsi="Verdana" w:cs="Calibri"/>
          <w:color w:val="000000"/>
        </w:rPr>
        <w:t>6</w:t>
      </w:r>
      <w:r w:rsidRPr="007D2521">
        <w:rPr>
          <w:rFonts w:ascii="Verdana" w:eastAsia="华文细黑" w:hAnsi="Verdana" w:cs="Calibri" w:hint="eastAsia"/>
          <w:color w:val="000000"/>
        </w:rPr>
        <w:t>月三亚市南岛农场场部周边排污口排水收集工程调增债券资金</w:t>
      </w:r>
      <w:r w:rsidRPr="007D2521">
        <w:rPr>
          <w:rFonts w:ascii="Verdana" w:eastAsia="华文细黑" w:hAnsi="Verdana" w:cs="Calibri"/>
          <w:color w:val="000000"/>
        </w:rPr>
        <w:t>500.00</w:t>
      </w:r>
      <w:r w:rsidRPr="007D2521">
        <w:rPr>
          <w:rFonts w:ascii="Verdana" w:eastAsia="华文细黑" w:hAnsi="Verdana" w:cs="Calibri" w:hint="eastAsia"/>
          <w:color w:val="000000"/>
        </w:rPr>
        <w:t>万元，债券利率为</w:t>
      </w:r>
      <w:r w:rsidRPr="007D2521">
        <w:rPr>
          <w:rFonts w:ascii="Verdana" w:eastAsia="华文细黑" w:hAnsi="Verdana" w:cs="Calibri"/>
          <w:color w:val="000000"/>
        </w:rPr>
        <w:t>2.99%</w:t>
      </w:r>
      <w:r w:rsidRPr="007D2521">
        <w:rPr>
          <w:rFonts w:ascii="Verdana" w:eastAsia="华文细黑" w:hAnsi="Verdana" w:cs="Calibri" w:hint="eastAsia"/>
          <w:color w:val="000000"/>
        </w:rPr>
        <w:t>，债券期限十五年期（调入存量债券资金为三亚市天涯区南岛居饮水安全工程项目结余未使用的资金</w:t>
      </w:r>
      <w:r w:rsidRPr="007D2521">
        <w:rPr>
          <w:rFonts w:ascii="Verdana" w:eastAsia="华文细黑" w:hAnsi="Verdana" w:cs="Calibri"/>
          <w:color w:val="000000"/>
        </w:rPr>
        <w:t>379.69</w:t>
      </w:r>
      <w:r w:rsidRPr="007D2521">
        <w:rPr>
          <w:rFonts w:ascii="Verdana" w:eastAsia="华文细黑" w:hAnsi="Verdana" w:cs="Calibri" w:hint="eastAsia"/>
          <w:color w:val="000000"/>
        </w:rPr>
        <w:t>万元，天涯区东宏花园等</w:t>
      </w:r>
      <w:r w:rsidRPr="007D2521">
        <w:rPr>
          <w:rFonts w:ascii="Verdana" w:eastAsia="华文细黑" w:hAnsi="Verdana" w:cs="Calibri"/>
          <w:color w:val="000000"/>
        </w:rPr>
        <w:t>4</w:t>
      </w:r>
      <w:r w:rsidRPr="007D2521">
        <w:rPr>
          <w:rFonts w:ascii="Verdana" w:eastAsia="华文细黑" w:hAnsi="Verdana" w:cs="Calibri" w:hint="eastAsia"/>
          <w:color w:val="000000"/>
        </w:rPr>
        <w:t>个小区改造工程项目结余未使用的资金</w:t>
      </w:r>
      <w:r w:rsidRPr="007D2521">
        <w:rPr>
          <w:rFonts w:ascii="Verdana" w:eastAsia="华文细黑" w:hAnsi="Verdana" w:cs="Calibri"/>
          <w:color w:val="000000"/>
        </w:rPr>
        <w:t>48.46</w:t>
      </w:r>
      <w:r w:rsidRPr="007D2521">
        <w:rPr>
          <w:rFonts w:ascii="Verdana" w:eastAsia="华文细黑" w:hAnsi="Verdana" w:cs="Calibri" w:hint="eastAsia"/>
          <w:color w:val="000000"/>
        </w:rPr>
        <w:t>万元，天涯区生产资料公司等</w:t>
      </w:r>
      <w:r w:rsidRPr="007D2521">
        <w:rPr>
          <w:rFonts w:ascii="Verdana" w:eastAsia="华文细黑" w:hAnsi="Verdana" w:cs="Calibri"/>
          <w:color w:val="000000"/>
        </w:rPr>
        <w:t>3</w:t>
      </w:r>
      <w:r w:rsidRPr="007D2521">
        <w:rPr>
          <w:rFonts w:ascii="Verdana" w:eastAsia="华文细黑" w:hAnsi="Verdana" w:cs="Calibri" w:hint="eastAsia"/>
          <w:color w:val="000000"/>
        </w:rPr>
        <w:t>个小区改造工程项目结余未使用的资金</w:t>
      </w:r>
      <w:r w:rsidRPr="007D2521">
        <w:rPr>
          <w:rFonts w:ascii="Verdana" w:eastAsia="华文细黑" w:hAnsi="Verdana" w:cs="Calibri"/>
          <w:color w:val="000000"/>
        </w:rPr>
        <w:t>18.40</w:t>
      </w:r>
      <w:r w:rsidRPr="007D2521">
        <w:rPr>
          <w:rFonts w:ascii="Verdana" w:eastAsia="华文细黑" w:hAnsi="Verdana" w:cs="Calibri" w:hint="eastAsia"/>
          <w:color w:val="000000"/>
        </w:rPr>
        <w:t>万元，天涯区种子公司等</w:t>
      </w:r>
      <w:r w:rsidRPr="007D2521">
        <w:rPr>
          <w:rFonts w:ascii="Verdana" w:eastAsia="华文细黑" w:hAnsi="Verdana" w:cs="Calibri"/>
          <w:color w:val="000000"/>
        </w:rPr>
        <w:t>4</w:t>
      </w:r>
      <w:r w:rsidRPr="007D2521">
        <w:rPr>
          <w:rFonts w:ascii="Verdana" w:eastAsia="华文细黑" w:hAnsi="Verdana" w:cs="Calibri" w:hint="eastAsia"/>
          <w:color w:val="000000"/>
        </w:rPr>
        <w:t>个小区改造工程项目结余未使用的资金</w:t>
      </w:r>
      <w:r w:rsidRPr="007D2521">
        <w:rPr>
          <w:rFonts w:ascii="Verdana" w:eastAsia="华文细黑" w:hAnsi="Verdana" w:cs="Calibri"/>
          <w:color w:val="000000"/>
        </w:rPr>
        <w:t>53.45</w:t>
      </w:r>
      <w:r w:rsidRPr="007D2521">
        <w:rPr>
          <w:rFonts w:ascii="Verdana" w:eastAsia="华文细黑" w:hAnsi="Verdana" w:cs="Calibri" w:hint="eastAsia"/>
          <w:color w:val="000000"/>
        </w:rPr>
        <w:t>万元）</w:t>
      </w:r>
      <w:r w:rsidR="00E8571A" w:rsidRPr="00E8571A">
        <w:rPr>
          <w:rFonts w:ascii="Verdana" w:eastAsia="华文细黑" w:hAnsi="Verdana" w:cs="Calibri" w:hint="eastAsia"/>
          <w:color w:val="000000"/>
        </w:rPr>
        <w:t>；</w:t>
      </w:r>
      <w:r w:rsidR="008066C6" w:rsidRPr="008066C6">
        <w:rPr>
          <w:rFonts w:ascii="Verdana" w:eastAsia="华文细黑" w:hAnsi="Verdana" w:cs="Calibri"/>
          <w:color w:val="000000"/>
        </w:rPr>
        <w:t>2024</w:t>
      </w:r>
      <w:r w:rsidR="008066C6" w:rsidRPr="008066C6">
        <w:rPr>
          <w:rFonts w:ascii="Verdana" w:eastAsia="华文细黑" w:hAnsi="Verdana" w:cs="Calibri" w:hint="eastAsia"/>
          <w:color w:val="000000"/>
        </w:rPr>
        <w:t>年</w:t>
      </w:r>
      <w:r w:rsidR="008066C6" w:rsidRPr="008066C6">
        <w:rPr>
          <w:rFonts w:ascii="Verdana" w:eastAsia="华文细黑" w:hAnsi="Verdana" w:cs="Calibri"/>
          <w:color w:val="000000"/>
        </w:rPr>
        <w:t>10</w:t>
      </w:r>
      <w:r w:rsidR="008066C6" w:rsidRPr="008066C6">
        <w:rPr>
          <w:rFonts w:ascii="Verdana" w:eastAsia="华文细黑" w:hAnsi="Verdana" w:cs="Calibri" w:hint="eastAsia"/>
          <w:color w:val="000000"/>
        </w:rPr>
        <w:t>月，</w:t>
      </w:r>
      <w:r w:rsidR="008066C6" w:rsidRPr="008066C6">
        <w:rPr>
          <w:rFonts w:ascii="Verdana" w:eastAsia="华文细黑" w:hAnsi="Verdana" w:cs="Calibri"/>
          <w:color w:val="000000"/>
        </w:rPr>
        <w:t>2024</w:t>
      </w:r>
      <w:r w:rsidR="008066C6" w:rsidRPr="008066C6">
        <w:rPr>
          <w:rFonts w:ascii="Verdana" w:eastAsia="华文细黑" w:hAnsi="Verdana" w:cs="Calibri" w:hint="eastAsia"/>
          <w:color w:val="000000"/>
        </w:rPr>
        <w:t>年海南省政府专项债券（二十五期）实际发行</w:t>
      </w:r>
      <w:r w:rsidR="008066C6" w:rsidRPr="008066C6">
        <w:rPr>
          <w:rFonts w:ascii="Verdana" w:eastAsia="华文细黑" w:hAnsi="Verdana" w:cs="Calibri"/>
          <w:color w:val="000000"/>
        </w:rPr>
        <w:t>1,500.00</w:t>
      </w:r>
      <w:r w:rsidR="008066C6" w:rsidRPr="008066C6">
        <w:rPr>
          <w:rFonts w:ascii="Verdana" w:eastAsia="华文细黑" w:hAnsi="Verdana" w:cs="Calibri" w:hint="eastAsia"/>
          <w:color w:val="000000"/>
        </w:rPr>
        <w:t>万元，债券票面利率为</w:t>
      </w:r>
      <w:r w:rsidR="008066C6" w:rsidRPr="008066C6">
        <w:rPr>
          <w:rFonts w:ascii="Verdana" w:eastAsia="华文细黑" w:hAnsi="Verdana" w:cs="Calibri"/>
          <w:color w:val="000000"/>
        </w:rPr>
        <w:t>2.4%</w:t>
      </w:r>
      <w:r w:rsidR="008066C6" w:rsidRPr="008066C6">
        <w:rPr>
          <w:rFonts w:ascii="Verdana" w:eastAsia="华文细黑" w:hAnsi="Verdana" w:cs="Calibri" w:hint="eastAsia"/>
          <w:color w:val="000000"/>
        </w:rPr>
        <w:t>，债券期限十五年期（三亚市棕榈滩污水主干管疏通清理、修复及压力管建设工程调减</w:t>
      </w:r>
      <w:r w:rsidR="008066C6" w:rsidRPr="008066C6">
        <w:rPr>
          <w:rFonts w:ascii="Verdana" w:eastAsia="华文细黑" w:hAnsi="Verdana" w:cs="Calibri"/>
          <w:color w:val="000000"/>
        </w:rPr>
        <w:t>500.00</w:t>
      </w:r>
      <w:r w:rsidR="008066C6" w:rsidRPr="008066C6">
        <w:rPr>
          <w:rFonts w:ascii="Verdana" w:eastAsia="华文细黑" w:hAnsi="Verdana" w:cs="Calibri" w:hint="eastAsia"/>
          <w:color w:val="000000"/>
        </w:rPr>
        <w:t>万元</w:t>
      </w:r>
      <w:r>
        <w:rPr>
          <w:rFonts w:ascii="Verdana" w:eastAsia="华文细黑" w:hAnsi="Verdana" w:cs="Calibri" w:hint="eastAsia"/>
          <w:color w:val="000000"/>
        </w:rPr>
        <w:t>到</w:t>
      </w:r>
      <w:r w:rsidR="008066C6" w:rsidRPr="008066C6">
        <w:rPr>
          <w:rFonts w:ascii="Verdana" w:eastAsia="华文细黑" w:hAnsi="Verdana" w:cs="Calibri" w:hint="eastAsia"/>
          <w:color w:val="000000"/>
        </w:rPr>
        <w:t>吉阳区</w:t>
      </w:r>
      <w:proofErr w:type="gramStart"/>
      <w:r w:rsidR="008066C6" w:rsidRPr="008066C6">
        <w:rPr>
          <w:rFonts w:ascii="Verdana" w:eastAsia="华文细黑" w:hAnsi="Verdana" w:cs="Calibri" w:hint="eastAsia"/>
          <w:color w:val="000000"/>
        </w:rPr>
        <w:t>商品街港门</w:t>
      </w:r>
      <w:proofErr w:type="gramEnd"/>
      <w:r w:rsidR="008066C6" w:rsidRPr="008066C6">
        <w:rPr>
          <w:rFonts w:ascii="Verdana" w:eastAsia="华文细黑" w:hAnsi="Verdana" w:cs="Calibri" w:hint="eastAsia"/>
          <w:color w:val="000000"/>
        </w:rPr>
        <w:t>村片区弱电光缆下地整治项目；三亚市抱坡溪东片区排水管网提质增效工程调减</w:t>
      </w:r>
      <w:r w:rsidR="008066C6" w:rsidRPr="008066C6">
        <w:rPr>
          <w:rFonts w:ascii="Verdana" w:eastAsia="华文细黑" w:hAnsi="Verdana" w:cs="Calibri"/>
          <w:color w:val="000000"/>
        </w:rPr>
        <w:t>1,000.00</w:t>
      </w:r>
      <w:r w:rsidR="008066C6" w:rsidRPr="008066C6">
        <w:rPr>
          <w:rFonts w:ascii="Verdana" w:eastAsia="华文细黑" w:hAnsi="Verdana" w:cs="Calibri" w:hint="eastAsia"/>
          <w:color w:val="000000"/>
        </w:rPr>
        <w:t>万元，分别</w:t>
      </w:r>
      <w:r>
        <w:rPr>
          <w:rFonts w:ascii="Verdana" w:eastAsia="华文细黑" w:hAnsi="Verdana" w:cs="Calibri" w:hint="eastAsia"/>
          <w:color w:val="000000"/>
        </w:rPr>
        <w:t>调入到</w:t>
      </w:r>
      <w:r w:rsidR="008066C6" w:rsidRPr="008066C6">
        <w:rPr>
          <w:rFonts w:ascii="Verdana" w:eastAsia="华文细黑" w:hAnsi="Verdana" w:cs="Calibri" w:hint="eastAsia"/>
          <w:color w:val="000000"/>
        </w:rPr>
        <w:t>三亚市鹿回头及</w:t>
      </w:r>
      <w:proofErr w:type="gramStart"/>
      <w:r w:rsidR="008066C6" w:rsidRPr="008066C6">
        <w:rPr>
          <w:rFonts w:ascii="Verdana" w:eastAsia="华文细黑" w:hAnsi="Verdana" w:cs="Calibri" w:hint="eastAsia"/>
          <w:color w:val="000000"/>
        </w:rPr>
        <w:t>红沙南片区</w:t>
      </w:r>
      <w:proofErr w:type="gramEnd"/>
      <w:r w:rsidR="008066C6" w:rsidRPr="008066C6">
        <w:rPr>
          <w:rFonts w:ascii="Verdana" w:eastAsia="华文细黑" w:hAnsi="Verdana" w:cs="Calibri" w:hint="eastAsia"/>
          <w:color w:val="000000"/>
        </w:rPr>
        <w:t>排水管网提质增效工程</w:t>
      </w:r>
      <w:r w:rsidR="008066C6" w:rsidRPr="008066C6">
        <w:rPr>
          <w:rFonts w:ascii="Verdana" w:eastAsia="华文细黑" w:hAnsi="Verdana" w:cs="Calibri"/>
          <w:color w:val="000000"/>
        </w:rPr>
        <w:t>500.00</w:t>
      </w:r>
      <w:r w:rsidR="008066C6" w:rsidRPr="008066C6">
        <w:rPr>
          <w:rFonts w:ascii="Verdana" w:eastAsia="华文细黑" w:hAnsi="Verdana" w:cs="Calibri" w:hint="eastAsia"/>
          <w:color w:val="000000"/>
        </w:rPr>
        <w:t>万元，海南三亚国际</w:t>
      </w:r>
      <w:proofErr w:type="gramStart"/>
      <w:r w:rsidR="008066C6" w:rsidRPr="008066C6">
        <w:rPr>
          <w:rFonts w:ascii="Verdana" w:eastAsia="华文细黑" w:hAnsi="Verdana" w:cs="Calibri" w:hint="eastAsia"/>
          <w:color w:val="000000"/>
        </w:rPr>
        <w:t>邮轮港</w:t>
      </w:r>
      <w:proofErr w:type="gramEnd"/>
      <w:r w:rsidR="008066C6" w:rsidRPr="008066C6">
        <w:rPr>
          <w:rFonts w:ascii="Verdana" w:eastAsia="华文细黑" w:hAnsi="Verdana" w:cs="Calibri" w:hint="eastAsia"/>
          <w:color w:val="000000"/>
        </w:rPr>
        <w:t>一期项目</w:t>
      </w:r>
      <w:r w:rsidR="008066C6" w:rsidRPr="008066C6">
        <w:rPr>
          <w:rFonts w:ascii="Verdana" w:eastAsia="华文细黑" w:hAnsi="Verdana" w:cs="Calibri"/>
          <w:color w:val="000000"/>
        </w:rPr>
        <w:t>500.00</w:t>
      </w:r>
      <w:r w:rsidR="008066C6" w:rsidRPr="008066C6">
        <w:rPr>
          <w:rFonts w:ascii="Verdana" w:eastAsia="华文细黑" w:hAnsi="Verdana" w:cs="Calibri" w:hint="eastAsia"/>
          <w:color w:val="000000"/>
        </w:rPr>
        <w:t>万元）</w:t>
      </w:r>
      <w:r w:rsidR="00E8571A" w:rsidRPr="00E8571A">
        <w:rPr>
          <w:rFonts w:ascii="Verdana" w:eastAsia="华文细黑" w:hAnsi="Verdana" w:cs="Calibri" w:hint="eastAsia"/>
          <w:color w:val="000000"/>
        </w:rPr>
        <w:t>。</w:t>
      </w:r>
      <w:r w:rsidR="00F3186C" w:rsidRPr="00F3186C">
        <w:rPr>
          <w:rFonts w:ascii="Verdana" w:eastAsia="华文细黑" w:hAnsi="Verdana" w:cs="Calibri" w:hint="eastAsia"/>
          <w:color w:val="000000"/>
        </w:rPr>
        <w:t>本次调增专项债券</w:t>
      </w:r>
      <w:r w:rsidR="00F3186C" w:rsidRPr="00F3186C">
        <w:rPr>
          <w:rFonts w:ascii="Verdana" w:eastAsia="华文细黑" w:hAnsi="Verdana" w:cs="Calibri"/>
          <w:color w:val="000000"/>
        </w:rPr>
        <w:t>1,500.00</w:t>
      </w:r>
      <w:r w:rsidR="00F3186C" w:rsidRPr="00F3186C">
        <w:rPr>
          <w:rFonts w:ascii="Verdana" w:eastAsia="华文细黑" w:hAnsi="Verdana" w:cs="Calibri" w:hint="eastAsia"/>
          <w:color w:val="000000"/>
        </w:rPr>
        <w:t>万元，调入存量债券资金为三亚东岸片区丹东西路和东岸西二路项目结余未使用的资金</w:t>
      </w:r>
      <w:r w:rsidR="00F3186C" w:rsidRPr="00F3186C">
        <w:rPr>
          <w:rFonts w:ascii="Verdana" w:eastAsia="华文细黑" w:hAnsi="Verdana" w:cs="Calibri"/>
          <w:color w:val="000000"/>
        </w:rPr>
        <w:t>1,000.00</w:t>
      </w:r>
      <w:r w:rsidR="00F3186C" w:rsidRPr="00F3186C">
        <w:rPr>
          <w:rFonts w:ascii="Verdana" w:eastAsia="华文细黑" w:hAnsi="Verdana" w:cs="Calibri" w:hint="eastAsia"/>
          <w:color w:val="000000"/>
        </w:rPr>
        <w:t>万元，债券票面利率为</w:t>
      </w:r>
      <w:r w:rsidR="00F3186C" w:rsidRPr="00F3186C">
        <w:rPr>
          <w:rFonts w:ascii="Verdana" w:eastAsia="华文细黑" w:hAnsi="Verdana" w:cs="Calibri"/>
          <w:color w:val="000000"/>
        </w:rPr>
        <w:t>2.29%</w:t>
      </w:r>
      <w:r w:rsidR="00F3186C" w:rsidRPr="00F3186C">
        <w:rPr>
          <w:rFonts w:ascii="Verdana" w:eastAsia="华文细黑" w:hAnsi="Verdana" w:cs="Calibri" w:hint="eastAsia"/>
          <w:color w:val="000000"/>
        </w:rPr>
        <w:t>，债券期限十年期</w:t>
      </w:r>
      <w:r w:rsidR="00B90F8D">
        <w:rPr>
          <w:rFonts w:ascii="Verdana" w:eastAsia="华文细黑" w:hAnsi="Verdana" w:cs="Calibri" w:hint="eastAsia"/>
          <w:color w:val="000000"/>
        </w:rPr>
        <w:t>；</w:t>
      </w:r>
      <w:r w:rsidR="00F3186C" w:rsidRPr="00F3186C">
        <w:rPr>
          <w:rFonts w:ascii="Verdana" w:eastAsia="华文细黑" w:hAnsi="Verdana" w:cs="Calibri" w:hint="eastAsia"/>
          <w:color w:val="000000"/>
        </w:rPr>
        <w:t>三亚市抱坡溪东片区排水管网提质增效工程结余未使用的资金</w:t>
      </w:r>
      <w:r w:rsidR="00F3186C" w:rsidRPr="00F3186C">
        <w:rPr>
          <w:rFonts w:ascii="Verdana" w:eastAsia="华文细黑" w:hAnsi="Verdana" w:cs="Calibri"/>
          <w:color w:val="000000"/>
        </w:rPr>
        <w:t>500.00</w:t>
      </w:r>
      <w:r w:rsidR="00F3186C" w:rsidRPr="00F3186C">
        <w:rPr>
          <w:rFonts w:ascii="Verdana" w:eastAsia="华文细黑" w:hAnsi="Verdana" w:cs="Calibri" w:hint="eastAsia"/>
          <w:color w:val="000000"/>
        </w:rPr>
        <w:t>万元，债券票面利率</w:t>
      </w:r>
      <w:r w:rsidR="00F3186C" w:rsidRPr="00F3186C">
        <w:rPr>
          <w:rFonts w:ascii="Verdana" w:eastAsia="华文细黑" w:hAnsi="Verdana" w:cs="Calibri"/>
          <w:color w:val="000000"/>
        </w:rPr>
        <w:t>2.4%</w:t>
      </w:r>
      <w:r w:rsidR="00F3186C" w:rsidRPr="00F3186C">
        <w:rPr>
          <w:rFonts w:ascii="Verdana" w:eastAsia="华文细黑" w:hAnsi="Verdana" w:cs="Calibri" w:hint="eastAsia"/>
          <w:color w:val="000000"/>
        </w:rPr>
        <w:t>，债券期限十五年期。</w:t>
      </w:r>
      <w:r w:rsidR="00E8571A" w:rsidRPr="00E8571A">
        <w:rPr>
          <w:rFonts w:ascii="Verdana" w:eastAsia="华文细黑" w:hAnsi="Verdana" w:cs="Calibri" w:hint="eastAsia"/>
          <w:color w:val="000000"/>
        </w:rPr>
        <w:t>据此估算本项目总投资为</w:t>
      </w:r>
      <w:r w:rsidR="000668D2" w:rsidRPr="000668D2">
        <w:rPr>
          <w:rFonts w:ascii="Verdana" w:eastAsia="华文细黑" w:hAnsi="Verdana" w:cs="Calibri"/>
          <w:color w:val="000000"/>
        </w:rPr>
        <w:t>122,943.74</w:t>
      </w:r>
      <w:r w:rsidR="00E8571A" w:rsidRPr="00E8571A">
        <w:rPr>
          <w:rFonts w:ascii="Verdana" w:eastAsia="华文细黑" w:hAnsi="Verdana" w:cs="Calibri" w:hint="eastAsia"/>
          <w:color w:val="000000"/>
        </w:rPr>
        <w:t>万元，</w:t>
      </w:r>
      <w:bookmarkEnd w:id="69"/>
      <w:r w:rsidRPr="007072FB">
        <w:rPr>
          <w:rFonts w:ascii="Verdana" w:eastAsia="华文细黑" w:hAnsi="Verdana" w:cs="Calibri"/>
          <w:color w:val="000000"/>
        </w:rPr>
        <w:t>详见表</w:t>
      </w:r>
      <w:r w:rsidR="00913C47">
        <w:rPr>
          <w:rFonts w:ascii="Verdana" w:eastAsia="华文细黑" w:hAnsi="Verdana" w:cs="Calibri" w:hint="eastAsia"/>
          <w:color w:val="000000"/>
        </w:rPr>
        <w:t>3</w:t>
      </w:r>
      <w:r w:rsidRPr="007072FB">
        <w:rPr>
          <w:rFonts w:ascii="Verdana" w:eastAsia="华文细黑" w:hAnsi="Verdana" w:cs="Calibri"/>
          <w:color w:val="000000"/>
        </w:rPr>
        <w:t>：</w:t>
      </w:r>
    </w:p>
    <w:p w14:paraId="798440A5" w14:textId="77777777" w:rsidR="000D1B9A" w:rsidRPr="007072FB" w:rsidRDefault="00000000">
      <w:pPr>
        <w:rPr>
          <w:rFonts w:ascii="Verdana" w:eastAsia="华文细黑" w:hAnsi="Verdana" w:cs="Calibri"/>
          <w:color w:val="000000"/>
        </w:rPr>
      </w:pPr>
      <w:r w:rsidRPr="007072FB">
        <w:rPr>
          <w:rFonts w:ascii="Verdana" w:eastAsia="华文细黑" w:hAnsi="Verdana" w:cs="Calibri"/>
          <w:color w:val="000000"/>
        </w:rPr>
        <w:br w:type="page"/>
      </w:r>
    </w:p>
    <w:p w14:paraId="61B0E6A9" w14:textId="79909993" w:rsidR="000D1B9A" w:rsidRPr="007072FB" w:rsidRDefault="00000000">
      <w:pPr>
        <w:spacing w:line="259" w:lineRule="auto"/>
        <w:jc w:val="center"/>
        <w:rPr>
          <w:rFonts w:ascii="Verdana" w:eastAsia="华文细黑" w:hAnsi="Verdana" w:cs="Calibri"/>
          <w:b/>
          <w:color w:val="000000"/>
        </w:rPr>
      </w:pPr>
      <w:r w:rsidRPr="007072FB">
        <w:rPr>
          <w:rFonts w:ascii="Verdana" w:eastAsia="华文细黑" w:hAnsi="Verdana" w:cs="Calibri"/>
          <w:b/>
          <w:color w:val="000000"/>
        </w:rPr>
        <w:lastRenderedPageBreak/>
        <w:t>表</w:t>
      </w:r>
      <w:r w:rsidR="00913C47">
        <w:rPr>
          <w:rFonts w:ascii="Verdana" w:eastAsia="华文细黑" w:hAnsi="Verdana" w:cs="Calibri" w:hint="eastAsia"/>
          <w:b/>
          <w:color w:val="000000"/>
        </w:rPr>
        <w:t>3</w:t>
      </w:r>
      <w:r w:rsidRPr="007072FB">
        <w:rPr>
          <w:rFonts w:ascii="Verdana" w:eastAsia="华文细黑" w:hAnsi="Verdana" w:cs="Calibri"/>
          <w:b/>
          <w:color w:val="000000"/>
        </w:rPr>
        <w:t>项目总投资估算表</w:t>
      </w:r>
    </w:p>
    <w:p w14:paraId="5A8DD0D0" w14:textId="77777777" w:rsidR="000D1B9A" w:rsidRPr="007072FB" w:rsidRDefault="00000000">
      <w:pPr>
        <w:ind w:right="135"/>
        <w:jc w:val="right"/>
        <w:rPr>
          <w:rFonts w:ascii="Verdana" w:eastAsia="华文细黑" w:hAnsi="Verdana" w:cs="Calibri"/>
          <w:color w:val="000000"/>
          <w:sz w:val="20"/>
          <w:szCs w:val="20"/>
        </w:rPr>
      </w:pPr>
      <w:r w:rsidRPr="007072FB">
        <w:rPr>
          <w:rFonts w:ascii="Verdana" w:eastAsia="华文细黑" w:hAnsi="Verdana" w:cs="Calibri"/>
          <w:color w:val="000000"/>
          <w:sz w:val="20"/>
          <w:szCs w:val="20"/>
        </w:rPr>
        <w:t>单位：人民币万元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3113"/>
        <w:gridCol w:w="3952"/>
      </w:tblGrid>
      <w:tr w:rsidR="000D1B9A" w:rsidRPr="007072FB" w14:paraId="2ED198F4" w14:textId="77777777">
        <w:trPr>
          <w:trHeight w:val="227"/>
        </w:trPr>
        <w:tc>
          <w:tcPr>
            <w:tcW w:w="1555" w:type="dxa"/>
            <w:shd w:val="clear" w:color="000000" w:fill="0070C0"/>
            <w:noWrap/>
            <w:vAlign w:val="center"/>
          </w:tcPr>
          <w:p w14:paraId="0D90993A" w14:textId="77777777" w:rsidR="000D1B9A" w:rsidRPr="007072FB" w:rsidRDefault="00000000">
            <w:pPr>
              <w:jc w:val="center"/>
              <w:rPr>
                <w:rFonts w:ascii="Verdana" w:eastAsia="华文细黑" w:hAnsi="Verdana" w:cs="Calibri"/>
                <w:b/>
                <w:bCs/>
                <w:color w:val="FFFFFF"/>
                <w:sz w:val="20"/>
                <w:szCs w:val="20"/>
              </w:rPr>
            </w:pPr>
            <w:r w:rsidRPr="007072FB">
              <w:rPr>
                <w:rFonts w:ascii="Verdana" w:eastAsia="华文细黑" w:hAnsi="Verdana" w:cs="Calibri"/>
                <w:b/>
                <w:bCs/>
                <w:color w:val="FFFFFF"/>
                <w:sz w:val="20"/>
                <w:szCs w:val="20"/>
              </w:rPr>
              <w:t>序号</w:t>
            </w:r>
          </w:p>
        </w:tc>
        <w:tc>
          <w:tcPr>
            <w:tcW w:w="3113" w:type="dxa"/>
            <w:shd w:val="clear" w:color="000000" w:fill="0070C0"/>
            <w:vAlign w:val="center"/>
          </w:tcPr>
          <w:p w14:paraId="7F52FB7E" w14:textId="77777777" w:rsidR="000D1B9A" w:rsidRPr="007072FB" w:rsidRDefault="00000000">
            <w:pPr>
              <w:jc w:val="center"/>
              <w:rPr>
                <w:rFonts w:ascii="Verdana" w:eastAsia="华文细黑" w:hAnsi="Verdana" w:cs="Calibri"/>
                <w:b/>
                <w:bCs/>
                <w:color w:val="FFFFFF"/>
                <w:sz w:val="20"/>
                <w:szCs w:val="20"/>
              </w:rPr>
            </w:pPr>
            <w:r w:rsidRPr="007072FB">
              <w:rPr>
                <w:rFonts w:ascii="Verdana" w:eastAsia="华文细黑" w:hAnsi="Verdana" w:cs="Calibri"/>
                <w:b/>
                <w:bCs/>
                <w:color w:val="FFFFFF"/>
                <w:sz w:val="20"/>
                <w:szCs w:val="20"/>
              </w:rPr>
              <w:t>项目名称</w:t>
            </w:r>
          </w:p>
        </w:tc>
        <w:tc>
          <w:tcPr>
            <w:tcW w:w="3952" w:type="dxa"/>
            <w:shd w:val="clear" w:color="000000" w:fill="0070C0"/>
            <w:vAlign w:val="center"/>
          </w:tcPr>
          <w:p w14:paraId="2D86FE2C" w14:textId="77777777" w:rsidR="000D1B9A" w:rsidRPr="007072FB" w:rsidRDefault="00000000">
            <w:pPr>
              <w:jc w:val="center"/>
              <w:rPr>
                <w:rFonts w:ascii="Verdana" w:eastAsia="华文细黑" w:hAnsi="Verdana" w:cs="Calibri"/>
                <w:b/>
                <w:bCs/>
                <w:color w:val="FFFFFF"/>
                <w:sz w:val="20"/>
                <w:szCs w:val="20"/>
              </w:rPr>
            </w:pPr>
            <w:r w:rsidRPr="007072FB">
              <w:rPr>
                <w:rFonts w:ascii="Verdana" w:eastAsia="华文细黑" w:hAnsi="Verdana" w:cs="Calibri"/>
                <w:b/>
                <w:bCs/>
                <w:color w:val="FFFFFF"/>
                <w:sz w:val="20"/>
                <w:szCs w:val="20"/>
              </w:rPr>
              <w:t>合计</w:t>
            </w:r>
          </w:p>
        </w:tc>
      </w:tr>
      <w:tr w:rsidR="000D1B9A" w:rsidRPr="007072FB" w14:paraId="3B86AAEF" w14:textId="77777777">
        <w:trPr>
          <w:trHeight w:val="227"/>
        </w:trPr>
        <w:tc>
          <w:tcPr>
            <w:tcW w:w="1555" w:type="dxa"/>
            <w:shd w:val="clear" w:color="auto" w:fill="auto"/>
            <w:noWrap/>
            <w:vAlign w:val="center"/>
          </w:tcPr>
          <w:p w14:paraId="39E5A09B" w14:textId="77777777" w:rsidR="000D1B9A" w:rsidRPr="007072FB" w:rsidRDefault="00000000">
            <w:pPr>
              <w:jc w:val="center"/>
              <w:rPr>
                <w:rFonts w:ascii="Verdana" w:eastAsia="华文细黑" w:hAnsi="Verdana" w:cs="Calibri"/>
                <w:color w:val="000000"/>
                <w:sz w:val="20"/>
                <w:szCs w:val="20"/>
              </w:rPr>
            </w:pPr>
            <w:r w:rsidRPr="007072FB">
              <w:rPr>
                <w:rFonts w:ascii="Verdana" w:eastAsia="华文细黑" w:hAnsi="Verdana" w:cs="Calibri"/>
                <w:color w:val="000000"/>
                <w:sz w:val="20"/>
                <w:szCs w:val="20"/>
              </w:rPr>
              <w:t>1</w:t>
            </w:r>
          </w:p>
        </w:tc>
        <w:tc>
          <w:tcPr>
            <w:tcW w:w="3113" w:type="dxa"/>
            <w:shd w:val="clear" w:color="auto" w:fill="auto"/>
          </w:tcPr>
          <w:p w14:paraId="394F3D97" w14:textId="77777777" w:rsidR="000D1B9A" w:rsidRPr="007072FB" w:rsidRDefault="00000000">
            <w:pPr>
              <w:jc w:val="both"/>
              <w:rPr>
                <w:rFonts w:ascii="Verdana" w:eastAsia="华文细黑" w:hAnsi="Verdana" w:cs="Calibri"/>
                <w:color w:val="000000"/>
                <w:sz w:val="20"/>
                <w:szCs w:val="20"/>
              </w:rPr>
            </w:pPr>
            <w:r w:rsidRPr="007072FB">
              <w:rPr>
                <w:rFonts w:ascii="Verdana" w:eastAsia="华文细黑" w:hAnsi="Verdana" w:cs="Calibri"/>
                <w:sz w:val="20"/>
                <w:szCs w:val="20"/>
              </w:rPr>
              <w:t>建设投资</w:t>
            </w:r>
          </w:p>
        </w:tc>
        <w:tc>
          <w:tcPr>
            <w:tcW w:w="3952" w:type="dxa"/>
            <w:shd w:val="clear" w:color="auto" w:fill="auto"/>
            <w:noWrap/>
            <w:vAlign w:val="center"/>
          </w:tcPr>
          <w:p w14:paraId="2FFA972F" w14:textId="467917CA" w:rsidR="000D1B9A" w:rsidRPr="007072FB" w:rsidRDefault="00E86493">
            <w:pPr>
              <w:jc w:val="right"/>
              <w:rPr>
                <w:rFonts w:ascii="Verdana" w:eastAsia="华文细黑" w:hAnsi="Verdana" w:cs="Calibri"/>
                <w:color w:val="000000"/>
                <w:sz w:val="20"/>
                <w:szCs w:val="20"/>
              </w:rPr>
            </w:pPr>
            <w:r w:rsidRPr="00E86493">
              <w:rPr>
                <w:rFonts w:ascii="Verdana" w:eastAsia="华文细黑" w:hAnsi="Verdana" w:cs="Calibri"/>
                <w:sz w:val="20"/>
                <w:szCs w:val="20"/>
              </w:rPr>
              <w:t>117,507.73</w:t>
            </w:r>
          </w:p>
        </w:tc>
      </w:tr>
      <w:tr w:rsidR="000D1B9A" w:rsidRPr="007072FB" w14:paraId="12E2936C" w14:textId="77777777">
        <w:trPr>
          <w:trHeight w:val="227"/>
        </w:trPr>
        <w:tc>
          <w:tcPr>
            <w:tcW w:w="1555" w:type="dxa"/>
            <w:shd w:val="clear" w:color="auto" w:fill="auto"/>
            <w:noWrap/>
            <w:vAlign w:val="center"/>
          </w:tcPr>
          <w:p w14:paraId="385869E4" w14:textId="77777777" w:rsidR="000D1B9A" w:rsidRPr="007072FB" w:rsidRDefault="00000000">
            <w:pPr>
              <w:jc w:val="center"/>
              <w:rPr>
                <w:rFonts w:ascii="Verdana" w:eastAsia="华文细黑" w:hAnsi="Verdana" w:cs="Calibri"/>
                <w:color w:val="000000"/>
                <w:sz w:val="20"/>
                <w:szCs w:val="20"/>
              </w:rPr>
            </w:pPr>
            <w:r w:rsidRPr="007072FB">
              <w:rPr>
                <w:rFonts w:ascii="Verdana" w:eastAsia="华文细黑" w:hAnsi="Verdana" w:cs="Calibri"/>
                <w:color w:val="000000"/>
                <w:sz w:val="20"/>
                <w:szCs w:val="20"/>
              </w:rPr>
              <w:t>2</w:t>
            </w:r>
          </w:p>
        </w:tc>
        <w:tc>
          <w:tcPr>
            <w:tcW w:w="3113" w:type="dxa"/>
            <w:shd w:val="clear" w:color="auto" w:fill="auto"/>
          </w:tcPr>
          <w:p w14:paraId="32E32C37" w14:textId="77777777" w:rsidR="000D1B9A" w:rsidRPr="007072FB" w:rsidRDefault="00000000">
            <w:pPr>
              <w:jc w:val="both"/>
              <w:rPr>
                <w:rFonts w:ascii="Verdana" w:eastAsia="华文细黑" w:hAnsi="Verdana" w:cs="Calibri"/>
                <w:color w:val="000000"/>
                <w:sz w:val="20"/>
                <w:szCs w:val="20"/>
              </w:rPr>
            </w:pPr>
            <w:r w:rsidRPr="007072FB">
              <w:rPr>
                <w:rFonts w:ascii="Verdana" w:eastAsia="华文细黑" w:hAnsi="Verdana" w:cs="Calibri"/>
                <w:sz w:val="20"/>
                <w:szCs w:val="20"/>
              </w:rPr>
              <w:t>建设期利息</w:t>
            </w:r>
          </w:p>
        </w:tc>
        <w:tc>
          <w:tcPr>
            <w:tcW w:w="3952" w:type="dxa"/>
            <w:shd w:val="clear" w:color="auto" w:fill="auto"/>
            <w:noWrap/>
            <w:vAlign w:val="center"/>
          </w:tcPr>
          <w:p w14:paraId="50241265" w14:textId="2E926ED6" w:rsidR="000D1B9A" w:rsidRPr="007072FB" w:rsidRDefault="00E86493">
            <w:pPr>
              <w:jc w:val="right"/>
              <w:rPr>
                <w:rFonts w:ascii="Verdana" w:eastAsia="华文细黑" w:hAnsi="Verdana" w:cs="Calibri"/>
                <w:sz w:val="20"/>
                <w:szCs w:val="20"/>
              </w:rPr>
            </w:pPr>
            <w:r w:rsidRPr="00E86493">
              <w:rPr>
                <w:rFonts w:ascii="Verdana" w:eastAsia="华文细黑" w:hAnsi="Verdana" w:cs="Calibri"/>
                <w:sz w:val="20"/>
                <w:szCs w:val="20"/>
              </w:rPr>
              <w:t>5,377.41</w:t>
            </w:r>
          </w:p>
        </w:tc>
      </w:tr>
      <w:tr w:rsidR="000D1B9A" w:rsidRPr="007072FB" w14:paraId="78758F31" w14:textId="77777777">
        <w:trPr>
          <w:trHeight w:val="227"/>
        </w:trPr>
        <w:tc>
          <w:tcPr>
            <w:tcW w:w="1555" w:type="dxa"/>
            <w:shd w:val="clear" w:color="auto" w:fill="auto"/>
            <w:noWrap/>
            <w:vAlign w:val="center"/>
          </w:tcPr>
          <w:p w14:paraId="193E4AD6" w14:textId="77777777" w:rsidR="000D1B9A" w:rsidRPr="007072FB" w:rsidRDefault="00000000">
            <w:pPr>
              <w:jc w:val="center"/>
              <w:rPr>
                <w:rFonts w:ascii="Verdana" w:eastAsia="华文细黑" w:hAnsi="Verdana" w:cs="Calibri"/>
                <w:color w:val="000000"/>
                <w:sz w:val="20"/>
                <w:szCs w:val="20"/>
              </w:rPr>
            </w:pPr>
            <w:r w:rsidRPr="007072FB">
              <w:rPr>
                <w:rFonts w:ascii="Verdana" w:eastAsia="华文细黑" w:hAnsi="Verdana" w:cs="Calibri"/>
                <w:color w:val="000000"/>
                <w:sz w:val="20"/>
                <w:szCs w:val="20"/>
              </w:rPr>
              <w:t>3</w:t>
            </w:r>
          </w:p>
        </w:tc>
        <w:tc>
          <w:tcPr>
            <w:tcW w:w="3113" w:type="dxa"/>
            <w:shd w:val="clear" w:color="auto" w:fill="auto"/>
          </w:tcPr>
          <w:p w14:paraId="05C9BADA" w14:textId="77777777" w:rsidR="000D1B9A" w:rsidRPr="007072FB" w:rsidRDefault="00000000">
            <w:pPr>
              <w:jc w:val="both"/>
              <w:rPr>
                <w:rFonts w:ascii="Verdana" w:eastAsia="华文细黑" w:hAnsi="Verdana" w:cs="Calibri"/>
                <w:color w:val="000000"/>
                <w:sz w:val="20"/>
                <w:szCs w:val="20"/>
              </w:rPr>
            </w:pPr>
            <w:r w:rsidRPr="007072FB">
              <w:rPr>
                <w:rFonts w:ascii="Verdana" w:eastAsia="华文细黑" w:hAnsi="Verdana" w:cs="Calibri"/>
                <w:sz w:val="20"/>
                <w:szCs w:val="20"/>
              </w:rPr>
              <w:t>债券发行费用</w:t>
            </w:r>
          </w:p>
        </w:tc>
        <w:tc>
          <w:tcPr>
            <w:tcW w:w="3952" w:type="dxa"/>
            <w:shd w:val="clear" w:color="auto" w:fill="auto"/>
            <w:noWrap/>
            <w:vAlign w:val="center"/>
          </w:tcPr>
          <w:p w14:paraId="2711FF22" w14:textId="42B2C209" w:rsidR="000D1B9A" w:rsidRPr="007072FB" w:rsidRDefault="00E86493">
            <w:pPr>
              <w:jc w:val="right"/>
              <w:rPr>
                <w:rFonts w:ascii="Verdana" w:eastAsia="华文细黑" w:hAnsi="Verdana" w:cs="Calibri"/>
                <w:sz w:val="20"/>
                <w:szCs w:val="20"/>
              </w:rPr>
            </w:pPr>
            <w:r w:rsidRPr="00E86493">
              <w:rPr>
                <w:rFonts w:ascii="Verdana" w:eastAsia="华文细黑" w:hAnsi="Verdana" w:cs="Calibri"/>
                <w:sz w:val="20"/>
                <w:szCs w:val="20"/>
              </w:rPr>
              <w:t>58.60</w:t>
            </w:r>
          </w:p>
        </w:tc>
      </w:tr>
      <w:tr w:rsidR="000D1B9A" w:rsidRPr="007072FB" w14:paraId="684358F6" w14:textId="77777777">
        <w:trPr>
          <w:trHeight w:val="227"/>
        </w:trPr>
        <w:tc>
          <w:tcPr>
            <w:tcW w:w="1555" w:type="dxa"/>
            <w:shd w:val="clear" w:color="auto" w:fill="auto"/>
            <w:noWrap/>
            <w:vAlign w:val="center"/>
          </w:tcPr>
          <w:p w14:paraId="510354D1" w14:textId="77777777" w:rsidR="000D1B9A" w:rsidRPr="007072FB" w:rsidRDefault="000D1B9A">
            <w:pPr>
              <w:jc w:val="center"/>
              <w:rPr>
                <w:rFonts w:ascii="Verdana" w:eastAsia="华文细黑" w:hAnsi="Verdana" w:cs="Calibri"/>
                <w:color w:val="000000"/>
                <w:sz w:val="20"/>
                <w:szCs w:val="20"/>
              </w:rPr>
            </w:pPr>
          </w:p>
        </w:tc>
        <w:tc>
          <w:tcPr>
            <w:tcW w:w="3113" w:type="dxa"/>
            <w:shd w:val="clear" w:color="auto" w:fill="auto"/>
          </w:tcPr>
          <w:p w14:paraId="07D9C63F" w14:textId="77777777" w:rsidR="000D1B9A" w:rsidRPr="007072FB" w:rsidRDefault="00000000">
            <w:pPr>
              <w:jc w:val="both"/>
              <w:rPr>
                <w:rFonts w:ascii="Verdana" w:eastAsia="华文细黑" w:hAnsi="Verdana" w:cs="Calibri"/>
                <w:b/>
                <w:bCs/>
                <w:color w:val="000000"/>
                <w:sz w:val="20"/>
                <w:szCs w:val="20"/>
              </w:rPr>
            </w:pPr>
            <w:r w:rsidRPr="007072FB">
              <w:rPr>
                <w:rFonts w:ascii="Verdana" w:eastAsia="华文细黑" w:hAnsi="Verdana" w:cs="Calibri"/>
                <w:b/>
                <w:bCs/>
                <w:sz w:val="20"/>
                <w:szCs w:val="20"/>
              </w:rPr>
              <w:t>估算总额</w:t>
            </w:r>
          </w:p>
        </w:tc>
        <w:tc>
          <w:tcPr>
            <w:tcW w:w="3952" w:type="dxa"/>
            <w:shd w:val="clear" w:color="auto" w:fill="auto"/>
            <w:noWrap/>
            <w:vAlign w:val="center"/>
          </w:tcPr>
          <w:p w14:paraId="48971D14" w14:textId="5ECAB93F" w:rsidR="000D1B9A" w:rsidRPr="007072FB" w:rsidRDefault="00E86493">
            <w:pPr>
              <w:jc w:val="right"/>
              <w:rPr>
                <w:rFonts w:ascii="Verdana" w:eastAsia="华文细黑" w:hAnsi="Verdana" w:cs="Calibri"/>
                <w:b/>
                <w:bCs/>
                <w:sz w:val="20"/>
                <w:szCs w:val="20"/>
              </w:rPr>
            </w:pPr>
            <w:r w:rsidRPr="00E86493">
              <w:rPr>
                <w:rFonts w:ascii="Verdana" w:eastAsia="华文细黑" w:hAnsi="Verdana" w:cs="Calibri"/>
                <w:b/>
                <w:bCs/>
                <w:sz w:val="20"/>
                <w:szCs w:val="20"/>
              </w:rPr>
              <w:t>122,943.74</w:t>
            </w:r>
          </w:p>
        </w:tc>
      </w:tr>
    </w:tbl>
    <w:p w14:paraId="7AB8C741" w14:textId="77777777" w:rsidR="000D1B9A" w:rsidRPr="007072FB" w:rsidRDefault="000D1B9A">
      <w:pPr>
        <w:ind w:right="-7"/>
        <w:jc w:val="right"/>
        <w:rPr>
          <w:rFonts w:ascii="Verdana" w:eastAsia="华文细黑" w:hAnsi="Verdana" w:cs="Calibri"/>
          <w:color w:val="000000"/>
          <w:sz w:val="20"/>
          <w:szCs w:val="20"/>
        </w:rPr>
      </w:pPr>
    </w:p>
    <w:p w14:paraId="1DC10C6A" w14:textId="77777777" w:rsidR="000D1B9A" w:rsidRPr="007072FB" w:rsidRDefault="00000000">
      <w:pPr>
        <w:spacing w:before="120" w:after="120" w:line="360" w:lineRule="auto"/>
        <w:jc w:val="both"/>
        <w:outlineLvl w:val="2"/>
        <w:rPr>
          <w:rFonts w:ascii="Verdana" w:eastAsia="华文细黑" w:hAnsi="Verdana" w:cs="Calibri"/>
          <w:b/>
          <w:color w:val="000000"/>
        </w:rPr>
      </w:pPr>
      <w:bookmarkStart w:id="70" w:name="_Toc135044147"/>
      <w:r w:rsidRPr="007072FB">
        <w:rPr>
          <w:rFonts w:ascii="Verdana" w:eastAsia="华文细黑" w:hAnsi="Verdana" w:cs="Calibri"/>
          <w:b/>
          <w:color w:val="000000"/>
        </w:rPr>
        <w:t>1.2</w:t>
      </w:r>
      <w:r w:rsidRPr="007072FB">
        <w:rPr>
          <w:rFonts w:ascii="Verdana" w:eastAsia="华文细黑" w:hAnsi="Verdana" w:cs="Calibri"/>
          <w:b/>
          <w:color w:val="000000"/>
        </w:rPr>
        <w:t>债券发行和还本付息</w:t>
      </w:r>
      <w:bookmarkEnd w:id="70"/>
    </w:p>
    <w:p w14:paraId="12060578" w14:textId="3B609783" w:rsidR="000D1B9A" w:rsidRPr="007072FB" w:rsidRDefault="00000000">
      <w:pPr>
        <w:spacing w:before="120" w:after="120" w:line="360" w:lineRule="auto"/>
        <w:ind w:firstLine="556"/>
        <w:jc w:val="both"/>
        <w:rPr>
          <w:rFonts w:ascii="Verdana" w:eastAsia="华文细黑" w:hAnsi="Verdana" w:cs="Calibri"/>
          <w:color w:val="000000"/>
        </w:rPr>
      </w:pPr>
      <w:r w:rsidRPr="007072FB">
        <w:rPr>
          <w:rFonts w:ascii="Verdana" w:eastAsia="华文细黑" w:hAnsi="Verdana" w:cs="Calibri"/>
          <w:color w:val="000000"/>
        </w:rPr>
        <w:t>本项目债券</w:t>
      </w:r>
      <w:r w:rsidRPr="007072FB">
        <w:rPr>
          <w:rFonts w:ascii="Verdana" w:eastAsia="华文细黑" w:hAnsi="Verdana" w:cs="Calibri"/>
          <w:color w:val="000000"/>
        </w:rPr>
        <w:t>10</w:t>
      </w:r>
      <w:r w:rsidRPr="007072FB">
        <w:rPr>
          <w:rFonts w:ascii="Verdana" w:eastAsia="华文细黑" w:hAnsi="Verdana" w:cs="Calibri"/>
          <w:color w:val="000000"/>
        </w:rPr>
        <w:t>年期及以上还本付息方式为每半年付息，到期一次性还本。</w:t>
      </w:r>
      <w:r w:rsidRPr="007072FB">
        <w:rPr>
          <w:rFonts w:ascii="Verdana" w:eastAsia="华文细黑" w:hAnsi="Verdana" w:cs="Calibri"/>
          <w:color w:val="000000"/>
        </w:rPr>
        <w:t>10</w:t>
      </w:r>
      <w:r w:rsidRPr="007072FB">
        <w:rPr>
          <w:rFonts w:ascii="Verdana" w:eastAsia="华文细黑" w:hAnsi="Verdana" w:cs="Calibri"/>
          <w:color w:val="000000"/>
        </w:rPr>
        <w:t>年以下还本付息方式为每年付息，到期一次性还本。本项目预计债券本息合计</w:t>
      </w:r>
      <w:r w:rsidR="008622BD" w:rsidRPr="008622BD">
        <w:rPr>
          <w:rFonts w:ascii="Verdana" w:eastAsia="华文细黑" w:hAnsi="Verdana" w:cs="Calibri"/>
          <w:color w:val="000000"/>
        </w:rPr>
        <w:t>91,559.52</w:t>
      </w:r>
      <w:r w:rsidRPr="007072FB">
        <w:rPr>
          <w:rFonts w:ascii="Verdana" w:eastAsia="华文细黑" w:hAnsi="Verdana" w:cs="Calibri"/>
          <w:color w:val="000000"/>
        </w:rPr>
        <w:t>万元。自发行之日起债券存续期还本付息情况如表</w:t>
      </w:r>
      <w:r w:rsidR="00913C47">
        <w:rPr>
          <w:rFonts w:ascii="Verdana" w:eastAsia="华文细黑" w:hAnsi="Verdana" w:cs="Calibri" w:hint="eastAsia"/>
          <w:color w:val="000000"/>
        </w:rPr>
        <w:t>4</w:t>
      </w:r>
      <w:r w:rsidRPr="007072FB">
        <w:rPr>
          <w:rFonts w:ascii="Verdana" w:eastAsia="华文细黑" w:hAnsi="Verdana" w:cs="Calibri"/>
          <w:color w:val="000000"/>
        </w:rPr>
        <w:t>：</w:t>
      </w:r>
    </w:p>
    <w:p w14:paraId="0C0C8099" w14:textId="77777777" w:rsidR="000D1B9A" w:rsidRPr="007072FB" w:rsidRDefault="000D1B9A">
      <w:pPr>
        <w:spacing w:before="120" w:after="120" w:line="360" w:lineRule="auto"/>
        <w:ind w:firstLine="556"/>
        <w:jc w:val="both"/>
        <w:rPr>
          <w:rFonts w:ascii="Verdana" w:eastAsia="华文细黑" w:hAnsi="Verdana" w:cs="Calibri"/>
          <w:color w:val="000000"/>
        </w:rPr>
        <w:sectPr w:rsidR="000D1B9A" w:rsidRPr="007072FB">
          <w:headerReference w:type="even" r:id="rId12"/>
          <w:headerReference w:type="default" r:id="rId13"/>
          <w:footerReference w:type="default" r:id="rId14"/>
          <w:headerReference w:type="first" r:id="rId15"/>
          <w:pgSz w:w="12240" w:h="15840"/>
          <w:pgMar w:top="1276" w:right="1800" w:bottom="1276" w:left="1800" w:header="708" w:footer="850" w:gutter="0"/>
          <w:pgNumType w:start="1"/>
          <w:cols w:space="708"/>
          <w:docGrid w:linePitch="360"/>
        </w:sectPr>
      </w:pPr>
    </w:p>
    <w:p w14:paraId="56AE234E" w14:textId="03A140DB" w:rsidR="000D1B9A" w:rsidRPr="007072FB" w:rsidRDefault="00000000">
      <w:pPr>
        <w:spacing w:after="160" w:line="259" w:lineRule="auto"/>
        <w:jc w:val="center"/>
        <w:rPr>
          <w:rFonts w:ascii="Verdana" w:eastAsia="华文细黑" w:hAnsi="Verdana" w:cs="Calibri"/>
          <w:b/>
        </w:rPr>
      </w:pPr>
      <w:r w:rsidRPr="007072FB">
        <w:rPr>
          <w:rFonts w:ascii="Verdana" w:eastAsia="华文细黑" w:hAnsi="Verdana" w:cs="Calibri"/>
          <w:b/>
        </w:rPr>
        <w:lastRenderedPageBreak/>
        <w:t>表</w:t>
      </w:r>
      <w:r w:rsidR="00913C47">
        <w:rPr>
          <w:rFonts w:ascii="Verdana" w:eastAsia="华文细黑" w:hAnsi="Verdana" w:cs="Calibri" w:hint="eastAsia"/>
          <w:b/>
        </w:rPr>
        <w:t>4</w:t>
      </w:r>
      <w:r w:rsidR="00A263CB" w:rsidRPr="007072FB">
        <w:rPr>
          <w:rFonts w:ascii="Verdana" w:eastAsia="华文细黑" w:hAnsi="Verdana" w:cs="Calibri"/>
          <w:b/>
        </w:rPr>
        <w:t>-1</w:t>
      </w:r>
      <w:r w:rsidRPr="007072FB">
        <w:rPr>
          <w:rFonts w:ascii="Verdana" w:eastAsia="华文细黑" w:hAnsi="Verdana" w:cs="Calibri"/>
          <w:b/>
        </w:rPr>
        <w:t>债券还本付息</w:t>
      </w:r>
      <w:r w:rsidR="003213C2">
        <w:rPr>
          <w:rFonts w:ascii="Verdana" w:eastAsia="华文细黑" w:hAnsi="Verdana" w:cs="Calibri" w:hint="eastAsia"/>
          <w:b/>
        </w:rPr>
        <w:t>总</w:t>
      </w:r>
      <w:r w:rsidRPr="007072FB">
        <w:rPr>
          <w:rFonts w:ascii="Verdana" w:eastAsia="华文细黑" w:hAnsi="Verdana" w:cs="Calibri"/>
          <w:b/>
        </w:rPr>
        <w:t>表</w:t>
      </w:r>
    </w:p>
    <w:p w14:paraId="64FD0AFE" w14:textId="77777777" w:rsidR="003213C2" w:rsidRDefault="00000000" w:rsidP="003C3C26">
      <w:pPr>
        <w:ind w:right="-37"/>
        <w:jc w:val="right"/>
        <w:rPr>
          <w:rFonts w:ascii="Verdana" w:eastAsia="华文细黑" w:hAnsi="Verdana" w:cs="Calibri"/>
          <w:sz w:val="20"/>
          <w:szCs w:val="20"/>
        </w:rPr>
      </w:pPr>
      <w:r w:rsidRPr="007072FB">
        <w:rPr>
          <w:rFonts w:ascii="Verdana" w:eastAsia="华文细黑" w:hAnsi="Verdana" w:cs="Calibri"/>
          <w:sz w:val="20"/>
          <w:szCs w:val="20"/>
        </w:rPr>
        <w:t>单位：人民币万元</w:t>
      </w:r>
    </w:p>
    <w:tbl>
      <w:tblPr>
        <w:tblW w:w="5376" w:type="pct"/>
        <w:jc w:val="center"/>
        <w:tblLook w:val="04A0" w:firstRow="1" w:lastRow="0" w:firstColumn="1" w:lastColumn="0" w:noHBand="0" w:noVBand="1"/>
      </w:tblPr>
      <w:tblGrid>
        <w:gridCol w:w="1816"/>
        <w:gridCol w:w="1252"/>
        <w:gridCol w:w="1252"/>
        <w:gridCol w:w="1252"/>
        <w:gridCol w:w="1252"/>
        <w:gridCol w:w="1252"/>
        <w:gridCol w:w="1252"/>
        <w:gridCol w:w="1252"/>
        <w:gridCol w:w="1252"/>
        <w:gridCol w:w="1252"/>
        <w:gridCol w:w="1252"/>
      </w:tblGrid>
      <w:tr w:rsidR="003213C2" w:rsidRPr="003213C2" w14:paraId="7A2254AB" w14:textId="77777777" w:rsidTr="004B465C">
        <w:trPr>
          <w:trHeight w:val="324"/>
          <w:jc w:val="center"/>
        </w:trPr>
        <w:tc>
          <w:tcPr>
            <w:tcW w:w="936" w:type="pct"/>
            <w:tcBorders>
              <w:top w:val="single" w:sz="4" w:space="0" w:color="auto"/>
              <w:left w:val="single" w:sz="4" w:space="0" w:color="auto"/>
              <w:bottom w:val="single" w:sz="4" w:space="0" w:color="auto"/>
              <w:right w:val="single" w:sz="4" w:space="0" w:color="auto"/>
            </w:tcBorders>
            <w:shd w:val="clear" w:color="000000" w:fill="0070C0"/>
            <w:noWrap/>
            <w:vAlign w:val="center"/>
            <w:hideMark/>
          </w:tcPr>
          <w:p w14:paraId="5A9B9D32" w14:textId="0B1DAEBF" w:rsidR="003213C2" w:rsidRPr="004B465C" w:rsidRDefault="003213C2" w:rsidP="003213C2">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hint="eastAsia"/>
                <w:b/>
                <w:bCs/>
                <w:color w:val="FFFFFF"/>
                <w:sz w:val="20"/>
                <w:szCs w:val="20"/>
              </w:rPr>
              <w:t>年</w:t>
            </w:r>
            <w:r w:rsidR="002336D9">
              <w:rPr>
                <w:rFonts w:asciiTheme="minorHAnsi" w:eastAsia="华文细黑" w:hAnsiTheme="minorHAnsi" w:cs="宋体" w:hint="eastAsia"/>
                <w:b/>
                <w:bCs/>
                <w:color w:val="FFFFFF"/>
                <w:sz w:val="20"/>
                <w:szCs w:val="20"/>
              </w:rPr>
              <w:t>度</w:t>
            </w:r>
          </w:p>
        </w:tc>
        <w:tc>
          <w:tcPr>
            <w:tcW w:w="407" w:type="pct"/>
            <w:tcBorders>
              <w:top w:val="single" w:sz="4" w:space="0" w:color="auto"/>
              <w:left w:val="nil"/>
              <w:bottom w:val="single" w:sz="4" w:space="0" w:color="auto"/>
              <w:right w:val="single" w:sz="4" w:space="0" w:color="auto"/>
            </w:tcBorders>
            <w:shd w:val="clear" w:color="000000" w:fill="0070C0"/>
            <w:noWrap/>
            <w:vAlign w:val="center"/>
            <w:hideMark/>
          </w:tcPr>
          <w:p w14:paraId="1EEA68B9" w14:textId="77777777" w:rsidR="003213C2" w:rsidRPr="004B465C" w:rsidRDefault="003213C2" w:rsidP="003213C2">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2022</w:t>
            </w:r>
          </w:p>
        </w:tc>
        <w:tc>
          <w:tcPr>
            <w:tcW w:w="407" w:type="pct"/>
            <w:tcBorders>
              <w:top w:val="single" w:sz="4" w:space="0" w:color="auto"/>
              <w:left w:val="nil"/>
              <w:bottom w:val="single" w:sz="4" w:space="0" w:color="auto"/>
              <w:right w:val="single" w:sz="4" w:space="0" w:color="auto"/>
            </w:tcBorders>
            <w:shd w:val="clear" w:color="000000" w:fill="0070C0"/>
            <w:noWrap/>
            <w:vAlign w:val="center"/>
            <w:hideMark/>
          </w:tcPr>
          <w:p w14:paraId="21C047B7" w14:textId="77777777" w:rsidR="003213C2" w:rsidRPr="004B465C" w:rsidRDefault="003213C2" w:rsidP="003213C2">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2023</w:t>
            </w:r>
          </w:p>
        </w:tc>
        <w:tc>
          <w:tcPr>
            <w:tcW w:w="407" w:type="pct"/>
            <w:tcBorders>
              <w:top w:val="single" w:sz="4" w:space="0" w:color="auto"/>
              <w:left w:val="nil"/>
              <w:bottom w:val="single" w:sz="4" w:space="0" w:color="auto"/>
              <w:right w:val="single" w:sz="4" w:space="0" w:color="auto"/>
            </w:tcBorders>
            <w:shd w:val="clear" w:color="000000" w:fill="0070C0"/>
            <w:noWrap/>
            <w:vAlign w:val="center"/>
            <w:hideMark/>
          </w:tcPr>
          <w:p w14:paraId="688C0E65" w14:textId="77777777" w:rsidR="003213C2" w:rsidRPr="004B465C" w:rsidRDefault="003213C2" w:rsidP="003213C2">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2024</w:t>
            </w:r>
          </w:p>
        </w:tc>
        <w:tc>
          <w:tcPr>
            <w:tcW w:w="406" w:type="pct"/>
            <w:tcBorders>
              <w:top w:val="single" w:sz="4" w:space="0" w:color="auto"/>
              <w:left w:val="nil"/>
              <w:bottom w:val="single" w:sz="4" w:space="0" w:color="auto"/>
              <w:right w:val="single" w:sz="4" w:space="0" w:color="auto"/>
            </w:tcBorders>
            <w:shd w:val="clear" w:color="000000" w:fill="0070C0"/>
            <w:noWrap/>
            <w:vAlign w:val="center"/>
            <w:hideMark/>
          </w:tcPr>
          <w:p w14:paraId="60112D81" w14:textId="77777777" w:rsidR="003213C2" w:rsidRPr="004B465C" w:rsidRDefault="003213C2" w:rsidP="003213C2">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2025</w:t>
            </w:r>
          </w:p>
        </w:tc>
        <w:tc>
          <w:tcPr>
            <w:tcW w:w="406" w:type="pct"/>
            <w:tcBorders>
              <w:top w:val="single" w:sz="4" w:space="0" w:color="auto"/>
              <w:left w:val="nil"/>
              <w:bottom w:val="single" w:sz="4" w:space="0" w:color="auto"/>
              <w:right w:val="single" w:sz="4" w:space="0" w:color="auto"/>
            </w:tcBorders>
            <w:shd w:val="clear" w:color="000000" w:fill="0070C0"/>
            <w:noWrap/>
            <w:vAlign w:val="center"/>
            <w:hideMark/>
          </w:tcPr>
          <w:p w14:paraId="0E0B8E86" w14:textId="77777777" w:rsidR="003213C2" w:rsidRPr="004B465C" w:rsidRDefault="003213C2" w:rsidP="003213C2">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2026</w:t>
            </w:r>
          </w:p>
        </w:tc>
        <w:tc>
          <w:tcPr>
            <w:tcW w:w="406" w:type="pct"/>
            <w:tcBorders>
              <w:top w:val="single" w:sz="4" w:space="0" w:color="auto"/>
              <w:left w:val="nil"/>
              <w:bottom w:val="single" w:sz="4" w:space="0" w:color="auto"/>
              <w:right w:val="single" w:sz="4" w:space="0" w:color="auto"/>
            </w:tcBorders>
            <w:shd w:val="clear" w:color="000000" w:fill="0070C0"/>
            <w:noWrap/>
            <w:vAlign w:val="center"/>
            <w:hideMark/>
          </w:tcPr>
          <w:p w14:paraId="6C676A4B" w14:textId="77777777" w:rsidR="003213C2" w:rsidRPr="004B465C" w:rsidRDefault="003213C2" w:rsidP="003213C2">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2027</w:t>
            </w:r>
          </w:p>
        </w:tc>
        <w:tc>
          <w:tcPr>
            <w:tcW w:w="406" w:type="pct"/>
            <w:tcBorders>
              <w:top w:val="single" w:sz="4" w:space="0" w:color="auto"/>
              <w:left w:val="nil"/>
              <w:bottom w:val="single" w:sz="4" w:space="0" w:color="auto"/>
              <w:right w:val="single" w:sz="4" w:space="0" w:color="auto"/>
            </w:tcBorders>
            <w:shd w:val="clear" w:color="000000" w:fill="0070C0"/>
            <w:noWrap/>
            <w:vAlign w:val="center"/>
            <w:hideMark/>
          </w:tcPr>
          <w:p w14:paraId="5665A140" w14:textId="77777777" w:rsidR="003213C2" w:rsidRPr="004B465C" w:rsidRDefault="003213C2" w:rsidP="003213C2">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2028</w:t>
            </w:r>
          </w:p>
        </w:tc>
        <w:tc>
          <w:tcPr>
            <w:tcW w:w="406" w:type="pct"/>
            <w:tcBorders>
              <w:top w:val="single" w:sz="4" w:space="0" w:color="auto"/>
              <w:left w:val="nil"/>
              <w:bottom w:val="single" w:sz="4" w:space="0" w:color="auto"/>
              <w:right w:val="single" w:sz="4" w:space="0" w:color="auto"/>
            </w:tcBorders>
            <w:shd w:val="clear" w:color="000000" w:fill="0070C0"/>
            <w:noWrap/>
            <w:vAlign w:val="center"/>
            <w:hideMark/>
          </w:tcPr>
          <w:p w14:paraId="13E80492" w14:textId="77777777" w:rsidR="003213C2" w:rsidRPr="004B465C" w:rsidRDefault="003213C2" w:rsidP="003213C2">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2029</w:t>
            </w:r>
          </w:p>
        </w:tc>
        <w:tc>
          <w:tcPr>
            <w:tcW w:w="406" w:type="pct"/>
            <w:tcBorders>
              <w:top w:val="single" w:sz="4" w:space="0" w:color="auto"/>
              <w:left w:val="nil"/>
              <w:bottom w:val="single" w:sz="4" w:space="0" w:color="auto"/>
              <w:right w:val="single" w:sz="4" w:space="0" w:color="auto"/>
            </w:tcBorders>
            <w:shd w:val="clear" w:color="000000" w:fill="0070C0"/>
            <w:noWrap/>
            <w:vAlign w:val="center"/>
            <w:hideMark/>
          </w:tcPr>
          <w:p w14:paraId="4704133B" w14:textId="77777777" w:rsidR="003213C2" w:rsidRPr="004B465C" w:rsidRDefault="003213C2" w:rsidP="003213C2">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2030</w:t>
            </w:r>
          </w:p>
        </w:tc>
        <w:tc>
          <w:tcPr>
            <w:tcW w:w="406" w:type="pct"/>
            <w:tcBorders>
              <w:top w:val="single" w:sz="4" w:space="0" w:color="auto"/>
              <w:left w:val="nil"/>
              <w:bottom w:val="single" w:sz="4" w:space="0" w:color="auto"/>
              <w:right w:val="single" w:sz="4" w:space="0" w:color="auto"/>
            </w:tcBorders>
            <w:shd w:val="clear" w:color="000000" w:fill="0070C0"/>
            <w:noWrap/>
            <w:vAlign w:val="center"/>
            <w:hideMark/>
          </w:tcPr>
          <w:p w14:paraId="02628F23" w14:textId="77777777" w:rsidR="003213C2" w:rsidRPr="004B465C" w:rsidRDefault="003213C2" w:rsidP="003213C2">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2031</w:t>
            </w:r>
          </w:p>
        </w:tc>
      </w:tr>
      <w:tr w:rsidR="003213C2" w:rsidRPr="003213C2" w14:paraId="628030A0" w14:textId="77777777" w:rsidTr="004B465C">
        <w:trPr>
          <w:trHeight w:val="324"/>
          <w:jc w:val="center"/>
        </w:trPr>
        <w:tc>
          <w:tcPr>
            <w:tcW w:w="936" w:type="pct"/>
            <w:tcBorders>
              <w:top w:val="nil"/>
              <w:left w:val="single" w:sz="4" w:space="0" w:color="auto"/>
              <w:bottom w:val="single" w:sz="4" w:space="0" w:color="auto"/>
              <w:right w:val="single" w:sz="4" w:space="0" w:color="auto"/>
            </w:tcBorders>
            <w:shd w:val="clear" w:color="auto" w:fill="auto"/>
            <w:noWrap/>
            <w:vAlign w:val="center"/>
            <w:hideMark/>
          </w:tcPr>
          <w:p w14:paraId="6C55532C" w14:textId="77777777" w:rsidR="003213C2" w:rsidRPr="004B465C" w:rsidRDefault="003213C2" w:rsidP="004B465C">
            <w:pPr>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期初专项债券余额</w:t>
            </w:r>
          </w:p>
        </w:tc>
        <w:tc>
          <w:tcPr>
            <w:tcW w:w="407" w:type="pct"/>
            <w:tcBorders>
              <w:top w:val="nil"/>
              <w:left w:val="nil"/>
              <w:bottom w:val="single" w:sz="4" w:space="0" w:color="auto"/>
              <w:right w:val="single" w:sz="4" w:space="0" w:color="auto"/>
            </w:tcBorders>
            <w:shd w:val="clear" w:color="auto" w:fill="auto"/>
            <w:noWrap/>
            <w:vAlign w:val="center"/>
            <w:hideMark/>
          </w:tcPr>
          <w:p w14:paraId="2064C33C" w14:textId="4ADD75CA"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07" w:type="pct"/>
            <w:tcBorders>
              <w:top w:val="nil"/>
              <w:left w:val="nil"/>
              <w:bottom w:val="single" w:sz="4" w:space="0" w:color="auto"/>
              <w:right w:val="single" w:sz="4" w:space="0" w:color="auto"/>
            </w:tcBorders>
            <w:shd w:val="clear" w:color="auto" w:fill="auto"/>
            <w:noWrap/>
            <w:vAlign w:val="center"/>
            <w:hideMark/>
          </w:tcPr>
          <w:p w14:paraId="54A29F33" w14:textId="741CAB0C"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40,400.00</w:t>
            </w:r>
          </w:p>
        </w:tc>
        <w:tc>
          <w:tcPr>
            <w:tcW w:w="407" w:type="pct"/>
            <w:tcBorders>
              <w:top w:val="nil"/>
              <w:left w:val="nil"/>
              <w:bottom w:val="single" w:sz="4" w:space="0" w:color="auto"/>
              <w:right w:val="single" w:sz="4" w:space="0" w:color="auto"/>
            </w:tcBorders>
            <w:shd w:val="clear" w:color="auto" w:fill="auto"/>
            <w:noWrap/>
            <w:vAlign w:val="center"/>
            <w:hideMark/>
          </w:tcPr>
          <w:p w14:paraId="7DC24F86" w14:textId="0935DFF6"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65,040.00</w:t>
            </w:r>
          </w:p>
        </w:tc>
        <w:tc>
          <w:tcPr>
            <w:tcW w:w="406" w:type="pct"/>
            <w:tcBorders>
              <w:top w:val="nil"/>
              <w:left w:val="nil"/>
              <w:bottom w:val="single" w:sz="4" w:space="0" w:color="auto"/>
              <w:right w:val="single" w:sz="4" w:space="0" w:color="auto"/>
            </w:tcBorders>
            <w:shd w:val="clear" w:color="auto" w:fill="auto"/>
            <w:noWrap/>
            <w:vAlign w:val="center"/>
            <w:hideMark/>
          </w:tcPr>
          <w:p w14:paraId="2271CC61" w14:textId="3C719521"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68,540.00</w:t>
            </w:r>
          </w:p>
        </w:tc>
        <w:tc>
          <w:tcPr>
            <w:tcW w:w="406" w:type="pct"/>
            <w:tcBorders>
              <w:top w:val="nil"/>
              <w:left w:val="nil"/>
              <w:bottom w:val="single" w:sz="4" w:space="0" w:color="auto"/>
              <w:right w:val="single" w:sz="4" w:space="0" w:color="auto"/>
            </w:tcBorders>
            <w:shd w:val="clear" w:color="auto" w:fill="auto"/>
            <w:noWrap/>
            <w:vAlign w:val="center"/>
            <w:hideMark/>
          </w:tcPr>
          <w:p w14:paraId="02BA7318" w14:textId="0E732405"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68,540.00</w:t>
            </w:r>
          </w:p>
        </w:tc>
        <w:tc>
          <w:tcPr>
            <w:tcW w:w="406" w:type="pct"/>
            <w:tcBorders>
              <w:top w:val="nil"/>
              <w:left w:val="nil"/>
              <w:bottom w:val="single" w:sz="4" w:space="0" w:color="auto"/>
              <w:right w:val="single" w:sz="4" w:space="0" w:color="auto"/>
            </w:tcBorders>
            <w:shd w:val="clear" w:color="auto" w:fill="auto"/>
            <w:noWrap/>
            <w:vAlign w:val="center"/>
            <w:hideMark/>
          </w:tcPr>
          <w:p w14:paraId="45DE08A1" w14:textId="263B8092"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68,540.00</w:t>
            </w:r>
          </w:p>
        </w:tc>
        <w:tc>
          <w:tcPr>
            <w:tcW w:w="406" w:type="pct"/>
            <w:tcBorders>
              <w:top w:val="nil"/>
              <w:left w:val="nil"/>
              <w:bottom w:val="single" w:sz="4" w:space="0" w:color="auto"/>
              <w:right w:val="single" w:sz="4" w:space="0" w:color="auto"/>
            </w:tcBorders>
            <w:shd w:val="clear" w:color="auto" w:fill="auto"/>
            <w:noWrap/>
            <w:vAlign w:val="center"/>
            <w:hideMark/>
          </w:tcPr>
          <w:p w14:paraId="71FDE912" w14:textId="10439F8D"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68,540.00</w:t>
            </w:r>
          </w:p>
        </w:tc>
        <w:tc>
          <w:tcPr>
            <w:tcW w:w="406" w:type="pct"/>
            <w:tcBorders>
              <w:top w:val="nil"/>
              <w:left w:val="nil"/>
              <w:bottom w:val="single" w:sz="4" w:space="0" w:color="auto"/>
              <w:right w:val="single" w:sz="4" w:space="0" w:color="auto"/>
            </w:tcBorders>
            <w:shd w:val="clear" w:color="auto" w:fill="auto"/>
            <w:noWrap/>
            <w:vAlign w:val="center"/>
            <w:hideMark/>
          </w:tcPr>
          <w:p w14:paraId="34E34D8D" w14:textId="50D72381"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52,640.00</w:t>
            </w:r>
          </w:p>
        </w:tc>
        <w:tc>
          <w:tcPr>
            <w:tcW w:w="406" w:type="pct"/>
            <w:tcBorders>
              <w:top w:val="nil"/>
              <w:left w:val="nil"/>
              <w:bottom w:val="single" w:sz="4" w:space="0" w:color="auto"/>
              <w:right w:val="single" w:sz="4" w:space="0" w:color="auto"/>
            </w:tcBorders>
            <w:shd w:val="clear" w:color="auto" w:fill="auto"/>
            <w:noWrap/>
            <w:vAlign w:val="center"/>
            <w:hideMark/>
          </w:tcPr>
          <w:p w14:paraId="0F22F75D" w14:textId="2AB5564D"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52,640.00</w:t>
            </w:r>
          </w:p>
        </w:tc>
        <w:tc>
          <w:tcPr>
            <w:tcW w:w="406" w:type="pct"/>
            <w:tcBorders>
              <w:top w:val="nil"/>
              <w:left w:val="nil"/>
              <w:bottom w:val="single" w:sz="4" w:space="0" w:color="auto"/>
              <w:right w:val="single" w:sz="4" w:space="0" w:color="auto"/>
            </w:tcBorders>
            <w:shd w:val="clear" w:color="auto" w:fill="auto"/>
            <w:noWrap/>
            <w:vAlign w:val="center"/>
            <w:hideMark/>
          </w:tcPr>
          <w:p w14:paraId="4B7855CB" w14:textId="226AD353"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52,640.00</w:t>
            </w:r>
          </w:p>
        </w:tc>
      </w:tr>
      <w:tr w:rsidR="003213C2" w:rsidRPr="003213C2" w14:paraId="7726BE90" w14:textId="77777777" w:rsidTr="004B465C">
        <w:trPr>
          <w:trHeight w:val="324"/>
          <w:jc w:val="center"/>
        </w:trPr>
        <w:tc>
          <w:tcPr>
            <w:tcW w:w="936" w:type="pct"/>
            <w:tcBorders>
              <w:top w:val="nil"/>
              <w:left w:val="single" w:sz="4" w:space="0" w:color="auto"/>
              <w:bottom w:val="single" w:sz="4" w:space="0" w:color="auto"/>
              <w:right w:val="single" w:sz="4" w:space="0" w:color="auto"/>
            </w:tcBorders>
            <w:shd w:val="clear" w:color="auto" w:fill="auto"/>
            <w:noWrap/>
            <w:vAlign w:val="center"/>
            <w:hideMark/>
          </w:tcPr>
          <w:p w14:paraId="6AD648D5" w14:textId="0CA984BB" w:rsidR="003213C2" w:rsidRPr="004B465C" w:rsidRDefault="003213C2" w:rsidP="004B465C">
            <w:pPr>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专项债券发行</w:t>
            </w:r>
          </w:p>
        </w:tc>
        <w:tc>
          <w:tcPr>
            <w:tcW w:w="407" w:type="pct"/>
            <w:tcBorders>
              <w:top w:val="nil"/>
              <w:left w:val="nil"/>
              <w:bottom w:val="single" w:sz="4" w:space="0" w:color="auto"/>
              <w:right w:val="single" w:sz="4" w:space="0" w:color="auto"/>
            </w:tcBorders>
            <w:shd w:val="clear" w:color="auto" w:fill="auto"/>
            <w:noWrap/>
            <w:vAlign w:val="center"/>
            <w:hideMark/>
          </w:tcPr>
          <w:p w14:paraId="39B503FF" w14:textId="03E21D54"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40,400.00</w:t>
            </w:r>
          </w:p>
        </w:tc>
        <w:tc>
          <w:tcPr>
            <w:tcW w:w="407" w:type="pct"/>
            <w:tcBorders>
              <w:top w:val="nil"/>
              <w:left w:val="nil"/>
              <w:bottom w:val="single" w:sz="4" w:space="0" w:color="auto"/>
              <w:right w:val="single" w:sz="4" w:space="0" w:color="auto"/>
            </w:tcBorders>
            <w:shd w:val="clear" w:color="auto" w:fill="auto"/>
            <w:noWrap/>
            <w:vAlign w:val="center"/>
            <w:hideMark/>
          </w:tcPr>
          <w:p w14:paraId="706727C6" w14:textId="55B98E75"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24,640.00</w:t>
            </w:r>
          </w:p>
        </w:tc>
        <w:tc>
          <w:tcPr>
            <w:tcW w:w="407" w:type="pct"/>
            <w:tcBorders>
              <w:top w:val="nil"/>
              <w:left w:val="nil"/>
              <w:bottom w:val="single" w:sz="4" w:space="0" w:color="auto"/>
              <w:right w:val="single" w:sz="4" w:space="0" w:color="auto"/>
            </w:tcBorders>
            <w:shd w:val="clear" w:color="auto" w:fill="auto"/>
            <w:noWrap/>
            <w:vAlign w:val="center"/>
            <w:hideMark/>
          </w:tcPr>
          <w:p w14:paraId="406DC47A" w14:textId="391038CB"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3,500.00</w:t>
            </w:r>
          </w:p>
        </w:tc>
        <w:tc>
          <w:tcPr>
            <w:tcW w:w="406" w:type="pct"/>
            <w:tcBorders>
              <w:top w:val="nil"/>
              <w:left w:val="nil"/>
              <w:bottom w:val="single" w:sz="4" w:space="0" w:color="auto"/>
              <w:right w:val="single" w:sz="4" w:space="0" w:color="auto"/>
            </w:tcBorders>
            <w:shd w:val="clear" w:color="auto" w:fill="auto"/>
            <w:noWrap/>
            <w:vAlign w:val="center"/>
            <w:hideMark/>
          </w:tcPr>
          <w:p w14:paraId="4E174560" w14:textId="737868D2"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06" w:type="pct"/>
            <w:tcBorders>
              <w:top w:val="nil"/>
              <w:left w:val="nil"/>
              <w:bottom w:val="single" w:sz="4" w:space="0" w:color="auto"/>
              <w:right w:val="single" w:sz="4" w:space="0" w:color="auto"/>
            </w:tcBorders>
            <w:shd w:val="clear" w:color="auto" w:fill="auto"/>
            <w:noWrap/>
            <w:vAlign w:val="center"/>
            <w:hideMark/>
          </w:tcPr>
          <w:p w14:paraId="6DCD5188" w14:textId="367AE0C9"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06" w:type="pct"/>
            <w:tcBorders>
              <w:top w:val="nil"/>
              <w:left w:val="nil"/>
              <w:bottom w:val="single" w:sz="4" w:space="0" w:color="auto"/>
              <w:right w:val="single" w:sz="4" w:space="0" w:color="auto"/>
            </w:tcBorders>
            <w:shd w:val="clear" w:color="auto" w:fill="auto"/>
            <w:noWrap/>
            <w:vAlign w:val="center"/>
            <w:hideMark/>
          </w:tcPr>
          <w:p w14:paraId="78BDD08E" w14:textId="772090DA"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06" w:type="pct"/>
            <w:tcBorders>
              <w:top w:val="nil"/>
              <w:left w:val="nil"/>
              <w:bottom w:val="single" w:sz="4" w:space="0" w:color="auto"/>
              <w:right w:val="single" w:sz="4" w:space="0" w:color="auto"/>
            </w:tcBorders>
            <w:shd w:val="clear" w:color="auto" w:fill="auto"/>
            <w:noWrap/>
            <w:vAlign w:val="center"/>
            <w:hideMark/>
          </w:tcPr>
          <w:p w14:paraId="24F6C50F" w14:textId="4307E00C"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06" w:type="pct"/>
            <w:tcBorders>
              <w:top w:val="nil"/>
              <w:left w:val="nil"/>
              <w:bottom w:val="single" w:sz="4" w:space="0" w:color="auto"/>
              <w:right w:val="single" w:sz="4" w:space="0" w:color="auto"/>
            </w:tcBorders>
            <w:shd w:val="clear" w:color="auto" w:fill="auto"/>
            <w:noWrap/>
            <w:vAlign w:val="center"/>
            <w:hideMark/>
          </w:tcPr>
          <w:p w14:paraId="29F29276" w14:textId="2B915B9C"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06" w:type="pct"/>
            <w:tcBorders>
              <w:top w:val="nil"/>
              <w:left w:val="nil"/>
              <w:bottom w:val="single" w:sz="4" w:space="0" w:color="auto"/>
              <w:right w:val="single" w:sz="4" w:space="0" w:color="auto"/>
            </w:tcBorders>
            <w:shd w:val="clear" w:color="auto" w:fill="auto"/>
            <w:noWrap/>
            <w:vAlign w:val="center"/>
            <w:hideMark/>
          </w:tcPr>
          <w:p w14:paraId="59E993AE" w14:textId="3EF07DE5"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06" w:type="pct"/>
            <w:tcBorders>
              <w:top w:val="nil"/>
              <w:left w:val="nil"/>
              <w:bottom w:val="single" w:sz="4" w:space="0" w:color="auto"/>
              <w:right w:val="single" w:sz="4" w:space="0" w:color="auto"/>
            </w:tcBorders>
            <w:shd w:val="clear" w:color="auto" w:fill="auto"/>
            <w:noWrap/>
            <w:vAlign w:val="center"/>
            <w:hideMark/>
          </w:tcPr>
          <w:p w14:paraId="70D359BE" w14:textId="371AEF28"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r>
      <w:tr w:rsidR="003213C2" w:rsidRPr="003213C2" w14:paraId="0D03DCA5" w14:textId="77777777" w:rsidTr="004B465C">
        <w:trPr>
          <w:trHeight w:val="324"/>
          <w:jc w:val="center"/>
        </w:trPr>
        <w:tc>
          <w:tcPr>
            <w:tcW w:w="936" w:type="pct"/>
            <w:tcBorders>
              <w:top w:val="nil"/>
              <w:left w:val="single" w:sz="4" w:space="0" w:color="auto"/>
              <w:bottom w:val="single" w:sz="4" w:space="0" w:color="auto"/>
              <w:right w:val="single" w:sz="4" w:space="0" w:color="auto"/>
            </w:tcBorders>
            <w:shd w:val="clear" w:color="auto" w:fill="auto"/>
            <w:noWrap/>
            <w:vAlign w:val="center"/>
            <w:hideMark/>
          </w:tcPr>
          <w:p w14:paraId="246993EC" w14:textId="77777777" w:rsidR="003213C2" w:rsidRPr="004B465C" w:rsidRDefault="003213C2" w:rsidP="004B465C">
            <w:pPr>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利息支出</w:t>
            </w:r>
          </w:p>
        </w:tc>
        <w:tc>
          <w:tcPr>
            <w:tcW w:w="407" w:type="pct"/>
            <w:tcBorders>
              <w:top w:val="nil"/>
              <w:left w:val="nil"/>
              <w:bottom w:val="single" w:sz="4" w:space="0" w:color="auto"/>
              <w:right w:val="single" w:sz="4" w:space="0" w:color="auto"/>
            </w:tcBorders>
            <w:shd w:val="clear" w:color="auto" w:fill="auto"/>
            <w:noWrap/>
            <w:vAlign w:val="center"/>
            <w:hideMark/>
          </w:tcPr>
          <w:p w14:paraId="015C9716" w14:textId="353D25F1"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141.31</w:t>
            </w:r>
          </w:p>
        </w:tc>
        <w:tc>
          <w:tcPr>
            <w:tcW w:w="407" w:type="pct"/>
            <w:tcBorders>
              <w:top w:val="nil"/>
              <w:left w:val="nil"/>
              <w:bottom w:val="single" w:sz="4" w:space="0" w:color="auto"/>
              <w:right w:val="single" w:sz="4" w:space="0" w:color="auto"/>
            </w:tcBorders>
            <w:shd w:val="clear" w:color="auto" w:fill="auto"/>
            <w:noWrap/>
            <w:vAlign w:val="center"/>
            <w:hideMark/>
          </w:tcPr>
          <w:p w14:paraId="581CCC01" w14:textId="4CBA57CF"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1,286.95</w:t>
            </w:r>
          </w:p>
        </w:tc>
        <w:tc>
          <w:tcPr>
            <w:tcW w:w="407" w:type="pct"/>
            <w:tcBorders>
              <w:top w:val="nil"/>
              <w:left w:val="nil"/>
              <w:bottom w:val="single" w:sz="4" w:space="0" w:color="auto"/>
              <w:right w:val="single" w:sz="4" w:space="0" w:color="auto"/>
            </w:tcBorders>
            <w:shd w:val="clear" w:color="auto" w:fill="auto"/>
            <w:noWrap/>
            <w:vAlign w:val="center"/>
            <w:hideMark/>
          </w:tcPr>
          <w:p w14:paraId="63CB383A" w14:textId="397602B7"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1,939.12</w:t>
            </w:r>
          </w:p>
        </w:tc>
        <w:tc>
          <w:tcPr>
            <w:tcW w:w="406" w:type="pct"/>
            <w:tcBorders>
              <w:top w:val="nil"/>
              <w:left w:val="nil"/>
              <w:bottom w:val="single" w:sz="4" w:space="0" w:color="auto"/>
              <w:right w:val="single" w:sz="4" w:space="0" w:color="auto"/>
            </w:tcBorders>
            <w:shd w:val="clear" w:color="auto" w:fill="auto"/>
            <w:noWrap/>
            <w:vAlign w:val="center"/>
            <w:hideMark/>
          </w:tcPr>
          <w:p w14:paraId="0638E3AA" w14:textId="2DC760E5"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2,010.02</w:t>
            </w:r>
          </w:p>
        </w:tc>
        <w:tc>
          <w:tcPr>
            <w:tcW w:w="406" w:type="pct"/>
            <w:tcBorders>
              <w:top w:val="nil"/>
              <w:left w:val="nil"/>
              <w:bottom w:val="single" w:sz="4" w:space="0" w:color="auto"/>
              <w:right w:val="single" w:sz="4" w:space="0" w:color="auto"/>
            </w:tcBorders>
            <w:shd w:val="clear" w:color="auto" w:fill="auto"/>
            <w:noWrap/>
            <w:vAlign w:val="center"/>
            <w:hideMark/>
          </w:tcPr>
          <w:p w14:paraId="4F829506" w14:textId="3C1D24B0"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2,010.02</w:t>
            </w:r>
          </w:p>
        </w:tc>
        <w:tc>
          <w:tcPr>
            <w:tcW w:w="406" w:type="pct"/>
            <w:tcBorders>
              <w:top w:val="nil"/>
              <w:left w:val="nil"/>
              <w:bottom w:val="single" w:sz="4" w:space="0" w:color="auto"/>
              <w:right w:val="single" w:sz="4" w:space="0" w:color="auto"/>
            </w:tcBorders>
            <w:shd w:val="clear" w:color="auto" w:fill="auto"/>
            <w:noWrap/>
            <w:vAlign w:val="center"/>
            <w:hideMark/>
          </w:tcPr>
          <w:p w14:paraId="5F9BDDB8" w14:textId="5A647ED9"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2,010.02</w:t>
            </w:r>
          </w:p>
        </w:tc>
        <w:tc>
          <w:tcPr>
            <w:tcW w:w="406" w:type="pct"/>
            <w:tcBorders>
              <w:top w:val="nil"/>
              <w:left w:val="nil"/>
              <w:bottom w:val="single" w:sz="4" w:space="0" w:color="auto"/>
              <w:right w:val="single" w:sz="4" w:space="0" w:color="auto"/>
            </w:tcBorders>
            <w:shd w:val="clear" w:color="auto" w:fill="auto"/>
            <w:noWrap/>
            <w:vAlign w:val="center"/>
            <w:hideMark/>
          </w:tcPr>
          <w:p w14:paraId="7995D42D" w14:textId="6346235C"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2,010.02</w:t>
            </w:r>
          </w:p>
        </w:tc>
        <w:tc>
          <w:tcPr>
            <w:tcW w:w="406" w:type="pct"/>
            <w:tcBorders>
              <w:top w:val="nil"/>
              <w:left w:val="nil"/>
              <w:bottom w:val="single" w:sz="4" w:space="0" w:color="auto"/>
              <w:right w:val="single" w:sz="4" w:space="0" w:color="auto"/>
            </w:tcBorders>
            <w:shd w:val="clear" w:color="auto" w:fill="auto"/>
            <w:noWrap/>
            <w:vAlign w:val="center"/>
            <w:hideMark/>
          </w:tcPr>
          <w:p w14:paraId="03F9B79D" w14:textId="42CCA0BF"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1,580.72</w:t>
            </w:r>
          </w:p>
        </w:tc>
        <w:tc>
          <w:tcPr>
            <w:tcW w:w="406" w:type="pct"/>
            <w:tcBorders>
              <w:top w:val="nil"/>
              <w:left w:val="nil"/>
              <w:bottom w:val="single" w:sz="4" w:space="0" w:color="auto"/>
              <w:right w:val="single" w:sz="4" w:space="0" w:color="auto"/>
            </w:tcBorders>
            <w:shd w:val="clear" w:color="auto" w:fill="auto"/>
            <w:noWrap/>
            <w:vAlign w:val="center"/>
            <w:hideMark/>
          </w:tcPr>
          <w:p w14:paraId="1E05BFDA" w14:textId="0824FDE1"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1,580.72</w:t>
            </w:r>
          </w:p>
        </w:tc>
        <w:tc>
          <w:tcPr>
            <w:tcW w:w="406" w:type="pct"/>
            <w:tcBorders>
              <w:top w:val="nil"/>
              <w:left w:val="nil"/>
              <w:bottom w:val="single" w:sz="4" w:space="0" w:color="auto"/>
              <w:right w:val="single" w:sz="4" w:space="0" w:color="auto"/>
            </w:tcBorders>
            <w:shd w:val="clear" w:color="auto" w:fill="auto"/>
            <w:noWrap/>
            <w:vAlign w:val="center"/>
            <w:hideMark/>
          </w:tcPr>
          <w:p w14:paraId="5D9DE26A" w14:textId="588D3249"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1,580.72</w:t>
            </w:r>
          </w:p>
        </w:tc>
      </w:tr>
      <w:tr w:rsidR="003213C2" w:rsidRPr="003213C2" w14:paraId="6C487E87" w14:textId="77777777" w:rsidTr="004B465C">
        <w:trPr>
          <w:trHeight w:val="324"/>
          <w:jc w:val="center"/>
        </w:trPr>
        <w:tc>
          <w:tcPr>
            <w:tcW w:w="936" w:type="pct"/>
            <w:tcBorders>
              <w:top w:val="nil"/>
              <w:left w:val="single" w:sz="4" w:space="0" w:color="auto"/>
              <w:bottom w:val="single" w:sz="4" w:space="0" w:color="auto"/>
              <w:right w:val="single" w:sz="4" w:space="0" w:color="auto"/>
            </w:tcBorders>
            <w:shd w:val="clear" w:color="auto" w:fill="auto"/>
            <w:noWrap/>
            <w:vAlign w:val="center"/>
            <w:hideMark/>
          </w:tcPr>
          <w:p w14:paraId="68345B23" w14:textId="77777777" w:rsidR="003213C2" w:rsidRPr="004B465C" w:rsidRDefault="003213C2" w:rsidP="004B465C">
            <w:pPr>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本期还款</w:t>
            </w:r>
          </w:p>
        </w:tc>
        <w:tc>
          <w:tcPr>
            <w:tcW w:w="407" w:type="pct"/>
            <w:tcBorders>
              <w:top w:val="nil"/>
              <w:left w:val="nil"/>
              <w:bottom w:val="single" w:sz="4" w:space="0" w:color="auto"/>
              <w:right w:val="single" w:sz="4" w:space="0" w:color="auto"/>
            </w:tcBorders>
            <w:shd w:val="clear" w:color="auto" w:fill="auto"/>
            <w:noWrap/>
            <w:vAlign w:val="center"/>
            <w:hideMark/>
          </w:tcPr>
          <w:p w14:paraId="3B994C92" w14:textId="0F13ACFE"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141.31</w:t>
            </w:r>
          </w:p>
        </w:tc>
        <w:tc>
          <w:tcPr>
            <w:tcW w:w="407" w:type="pct"/>
            <w:tcBorders>
              <w:top w:val="nil"/>
              <w:left w:val="nil"/>
              <w:bottom w:val="single" w:sz="4" w:space="0" w:color="auto"/>
              <w:right w:val="single" w:sz="4" w:space="0" w:color="auto"/>
            </w:tcBorders>
            <w:shd w:val="clear" w:color="auto" w:fill="auto"/>
            <w:noWrap/>
            <w:vAlign w:val="center"/>
            <w:hideMark/>
          </w:tcPr>
          <w:p w14:paraId="031B4460" w14:textId="35AFBDC9"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1,286.95</w:t>
            </w:r>
          </w:p>
        </w:tc>
        <w:tc>
          <w:tcPr>
            <w:tcW w:w="407" w:type="pct"/>
            <w:tcBorders>
              <w:top w:val="nil"/>
              <w:left w:val="nil"/>
              <w:bottom w:val="single" w:sz="4" w:space="0" w:color="auto"/>
              <w:right w:val="single" w:sz="4" w:space="0" w:color="auto"/>
            </w:tcBorders>
            <w:shd w:val="clear" w:color="auto" w:fill="auto"/>
            <w:noWrap/>
            <w:vAlign w:val="center"/>
            <w:hideMark/>
          </w:tcPr>
          <w:p w14:paraId="481AC75A" w14:textId="41DC608B"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1,939.12</w:t>
            </w:r>
          </w:p>
        </w:tc>
        <w:tc>
          <w:tcPr>
            <w:tcW w:w="406" w:type="pct"/>
            <w:tcBorders>
              <w:top w:val="nil"/>
              <w:left w:val="nil"/>
              <w:bottom w:val="single" w:sz="4" w:space="0" w:color="auto"/>
              <w:right w:val="single" w:sz="4" w:space="0" w:color="auto"/>
            </w:tcBorders>
            <w:shd w:val="clear" w:color="auto" w:fill="auto"/>
            <w:noWrap/>
            <w:vAlign w:val="center"/>
            <w:hideMark/>
          </w:tcPr>
          <w:p w14:paraId="465EB58B" w14:textId="7DFA7775"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2,010.02</w:t>
            </w:r>
          </w:p>
        </w:tc>
        <w:tc>
          <w:tcPr>
            <w:tcW w:w="406" w:type="pct"/>
            <w:tcBorders>
              <w:top w:val="nil"/>
              <w:left w:val="nil"/>
              <w:bottom w:val="single" w:sz="4" w:space="0" w:color="auto"/>
              <w:right w:val="single" w:sz="4" w:space="0" w:color="auto"/>
            </w:tcBorders>
            <w:shd w:val="clear" w:color="auto" w:fill="auto"/>
            <w:noWrap/>
            <w:vAlign w:val="center"/>
            <w:hideMark/>
          </w:tcPr>
          <w:p w14:paraId="3A676AEA" w14:textId="168ACF9D"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2,010.02</w:t>
            </w:r>
          </w:p>
        </w:tc>
        <w:tc>
          <w:tcPr>
            <w:tcW w:w="406" w:type="pct"/>
            <w:tcBorders>
              <w:top w:val="nil"/>
              <w:left w:val="nil"/>
              <w:bottom w:val="single" w:sz="4" w:space="0" w:color="auto"/>
              <w:right w:val="single" w:sz="4" w:space="0" w:color="auto"/>
            </w:tcBorders>
            <w:shd w:val="clear" w:color="auto" w:fill="auto"/>
            <w:noWrap/>
            <w:vAlign w:val="center"/>
            <w:hideMark/>
          </w:tcPr>
          <w:p w14:paraId="2C7D6F8C" w14:textId="79CB88B2"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2,010.02</w:t>
            </w:r>
          </w:p>
        </w:tc>
        <w:tc>
          <w:tcPr>
            <w:tcW w:w="406" w:type="pct"/>
            <w:tcBorders>
              <w:top w:val="nil"/>
              <w:left w:val="nil"/>
              <w:bottom w:val="single" w:sz="4" w:space="0" w:color="auto"/>
              <w:right w:val="single" w:sz="4" w:space="0" w:color="auto"/>
            </w:tcBorders>
            <w:shd w:val="clear" w:color="auto" w:fill="auto"/>
            <w:noWrap/>
            <w:vAlign w:val="center"/>
            <w:hideMark/>
          </w:tcPr>
          <w:p w14:paraId="632D0DD9" w14:textId="3527DEEC"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17,910.02</w:t>
            </w:r>
          </w:p>
        </w:tc>
        <w:tc>
          <w:tcPr>
            <w:tcW w:w="406" w:type="pct"/>
            <w:tcBorders>
              <w:top w:val="nil"/>
              <w:left w:val="nil"/>
              <w:bottom w:val="single" w:sz="4" w:space="0" w:color="auto"/>
              <w:right w:val="single" w:sz="4" w:space="0" w:color="auto"/>
            </w:tcBorders>
            <w:shd w:val="clear" w:color="auto" w:fill="auto"/>
            <w:noWrap/>
            <w:vAlign w:val="center"/>
            <w:hideMark/>
          </w:tcPr>
          <w:p w14:paraId="52791C51" w14:textId="6D806A8D"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1,580.72</w:t>
            </w:r>
          </w:p>
        </w:tc>
        <w:tc>
          <w:tcPr>
            <w:tcW w:w="406" w:type="pct"/>
            <w:tcBorders>
              <w:top w:val="nil"/>
              <w:left w:val="nil"/>
              <w:bottom w:val="single" w:sz="4" w:space="0" w:color="auto"/>
              <w:right w:val="single" w:sz="4" w:space="0" w:color="auto"/>
            </w:tcBorders>
            <w:shd w:val="clear" w:color="auto" w:fill="auto"/>
            <w:noWrap/>
            <w:vAlign w:val="center"/>
            <w:hideMark/>
          </w:tcPr>
          <w:p w14:paraId="0B402B24" w14:textId="63425801"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1,580.72</w:t>
            </w:r>
          </w:p>
        </w:tc>
        <w:tc>
          <w:tcPr>
            <w:tcW w:w="406" w:type="pct"/>
            <w:tcBorders>
              <w:top w:val="nil"/>
              <w:left w:val="nil"/>
              <w:bottom w:val="single" w:sz="4" w:space="0" w:color="auto"/>
              <w:right w:val="single" w:sz="4" w:space="0" w:color="auto"/>
            </w:tcBorders>
            <w:shd w:val="clear" w:color="auto" w:fill="auto"/>
            <w:noWrap/>
            <w:vAlign w:val="center"/>
            <w:hideMark/>
          </w:tcPr>
          <w:p w14:paraId="37C3C425" w14:textId="70F91C3F"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1,580.72</w:t>
            </w:r>
          </w:p>
        </w:tc>
      </w:tr>
      <w:tr w:rsidR="003213C2" w:rsidRPr="003213C2" w14:paraId="064FD32A" w14:textId="77777777" w:rsidTr="004B465C">
        <w:trPr>
          <w:trHeight w:val="324"/>
          <w:jc w:val="center"/>
        </w:trPr>
        <w:tc>
          <w:tcPr>
            <w:tcW w:w="936" w:type="pct"/>
            <w:tcBorders>
              <w:top w:val="nil"/>
              <w:left w:val="single" w:sz="4" w:space="0" w:color="auto"/>
              <w:bottom w:val="single" w:sz="4" w:space="0" w:color="auto"/>
              <w:right w:val="single" w:sz="4" w:space="0" w:color="auto"/>
            </w:tcBorders>
            <w:shd w:val="clear" w:color="auto" w:fill="auto"/>
            <w:noWrap/>
            <w:vAlign w:val="center"/>
            <w:hideMark/>
          </w:tcPr>
          <w:p w14:paraId="342AFF00" w14:textId="77777777" w:rsidR="003213C2" w:rsidRPr="004B465C" w:rsidRDefault="003213C2" w:rsidP="004B465C">
            <w:pPr>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其中：还本</w:t>
            </w:r>
          </w:p>
        </w:tc>
        <w:tc>
          <w:tcPr>
            <w:tcW w:w="407" w:type="pct"/>
            <w:tcBorders>
              <w:top w:val="nil"/>
              <w:left w:val="nil"/>
              <w:bottom w:val="single" w:sz="4" w:space="0" w:color="auto"/>
              <w:right w:val="single" w:sz="4" w:space="0" w:color="auto"/>
            </w:tcBorders>
            <w:shd w:val="clear" w:color="auto" w:fill="auto"/>
            <w:noWrap/>
            <w:vAlign w:val="center"/>
            <w:hideMark/>
          </w:tcPr>
          <w:p w14:paraId="70856383" w14:textId="470FB1BD"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07" w:type="pct"/>
            <w:tcBorders>
              <w:top w:val="nil"/>
              <w:left w:val="nil"/>
              <w:bottom w:val="single" w:sz="4" w:space="0" w:color="auto"/>
              <w:right w:val="single" w:sz="4" w:space="0" w:color="auto"/>
            </w:tcBorders>
            <w:shd w:val="clear" w:color="auto" w:fill="auto"/>
            <w:noWrap/>
            <w:vAlign w:val="center"/>
            <w:hideMark/>
          </w:tcPr>
          <w:p w14:paraId="4847817D" w14:textId="06680BFE"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07" w:type="pct"/>
            <w:tcBorders>
              <w:top w:val="nil"/>
              <w:left w:val="nil"/>
              <w:bottom w:val="single" w:sz="4" w:space="0" w:color="auto"/>
              <w:right w:val="single" w:sz="4" w:space="0" w:color="auto"/>
            </w:tcBorders>
            <w:shd w:val="clear" w:color="auto" w:fill="auto"/>
            <w:noWrap/>
            <w:vAlign w:val="center"/>
            <w:hideMark/>
          </w:tcPr>
          <w:p w14:paraId="7A3F7DA3" w14:textId="146FD980"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06" w:type="pct"/>
            <w:tcBorders>
              <w:top w:val="nil"/>
              <w:left w:val="nil"/>
              <w:bottom w:val="single" w:sz="4" w:space="0" w:color="auto"/>
              <w:right w:val="single" w:sz="4" w:space="0" w:color="auto"/>
            </w:tcBorders>
            <w:shd w:val="clear" w:color="auto" w:fill="auto"/>
            <w:noWrap/>
            <w:vAlign w:val="center"/>
            <w:hideMark/>
          </w:tcPr>
          <w:p w14:paraId="70C3BF43" w14:textId="37DCFEDD"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06" w:type="pct"/>
            <w:tcBorders>
              <w:top w:val="nil"/>
              <w:left w:val="nil"/>
              <w:bottom w:val="single" w:sz="4" w:space="0" w:color="auto"/>
              <w:right w:val="single" w:sz="4" w:space="0" w:color="auto"/>
            </w:tcBorders>
            <w:shd w:val="clear" w:color="auto" w:fill="auto"/>
            <w:noWrap/>
            <w:vAlign w:val="center"/>
            <w:hideMark/>
          </w:tcPr>
          <w:p w14:paraId="208D60A8" w14:textId="519B9A72"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06" w:type="pct"/>
            <w:tcBorders>
              <w:top w:val="nil"/>
              <w:left w:val="nil"/>
              <w:bottom w:val="single" w:sz="4" w:space="0" w:color="auto"/>
              <w:right w:val="single" w:sz="4" w:space="0" w:color="auto"/>
            </w:tcBorders>
            <w:shd w:val="clear" w:color="auto" w:fill="auto"/>
            <w:noWrap/>
            <w:vAlign w:val="center"/>
            <w:hideMark/>
          </w:tcPr>
          <w:p w14:paraId="6AC1D57C" w14:textId="418D5DEE"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06" w:type="pct"/>
            <w:tcBorders>
              <w:top w:val="nil"/>
              <w:left w:val="nil"/>
              <w:bottom w:val="single" w:sz="4" w:space="0" w:color="auto"/>
              <w:right w:val="single" w:sz="4" w:space="0" w:color="auto"/>
            </w:tcBorders>
            <w:shd w:val="clear" w:color="auto" w:fill="auto"/>
            <w:noWrap/>
            <w:vAlign w:val="center"/>
            <w:hideMark/>
          </w:tcPr>
          <w:p w14:paraId="2927E8B0" w14:textId="68563060"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15,900.00</w:t>
            </w:r>
          </w:p>
        </w:tc>
        <w:tc>
          <w:tcPr>
            <w:tcW w:w="406" w:type="pct"/>
            <w:tcBorders>
              <w:top w:val="nil"/>
              <w:left w:val="nil"/>
              <w:bottom w:val="single" w:sz="4" w:space="0" w:color="auto"/>
              <w:right w:val="single" w:sz="4" w:space="0" w:color="auto"/>
            </w:tcBorders>
            <w:shd w:val="clear" w:color="auto" w:fill="auto"/>
            <w:noWrap/>
            <w:vAlign w:val="center"/>
            <w:hideMark/>
          </w:tcPr>
          <w:p w14:paraId="7B167E54" w14:textId="5E9D3CCB"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06" w:type="pct"/>
            <w:tcBorders>
              <w:top w:val="nil"/>
              <w:left w:val="nil"/>
              <w:bottom w:val="single" w:sz="4" w:space="0" w:color="auto"/>
              <w:right w:val="single" w:sz="4" w:space="0" w:color="auto"/>
            </w:tcBorders>
            <w:shd w:val="clear" w:color="auto" w:fill="auto"/>
            <w:noWrap/>
            <w:vAlign w:val="center"/>
            <w:hideMark/>
          </w:tcPr>
          <w:p w14:paraId="28F946EA" w14:textId="0C51B135"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06" w:type="pct"/>
            <w:tcBorders>
              <w:top w:val="nil"/>
              <w:left w:val="nil"/>
              <w:bottom w:val="single" w:sz="4" w:space="0" w:color="auto"/>
              <w:right w:val="single" w:sz="4" w:space="0" w:color="auto"/>
            </w:tcBorders>
            <w:shd w:val="clear" w:color="auto" w:fill="auto"/>
            <w:noWrap/>
            <w:vAlign w:val="center"/>
            <w:hideMark/>
          </w:tcPr>
          <w:p w14:paraId="7E225625" w14:textId="0BA39230"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r>
      <w:tr w:rsidR="003213C2" w:rsidRPr="003213C2" w14:paraId="5592AE24" w14:textId="77777777" w:rsidTr="004B465C">
        <w:trPr>
          <w:trHeight w:val="324"/>
          <w:jc w:val="center"/>
        </w:trPr>
        <w:tc>
          <w:tcPr>
            <w:tcW w:w="936" w:type="pct"/>
            <w:tcBorders>
              <w:top w:val="nil"/>
              <w:left w:val="single" w:sz="4" w:space="0" w:color="auto"/>
              <w:bottom w:val="single" w:sz="4" w:space="0" w:color="auto"/>
              <w:right w:val="single" w:sz="4" w:space="0" w:color="auto"/>
            </w:tcBorders>
            <w:shd w:val="clear" w:color="auto" w:fill="auto"/>
            <w:noWrap/>
            <w:vAlign w:val="center"/>
            <w:hideMark/>
          </w:tcPr>
          <w:p w14:paraId="3F64A057" w14:textId="77777777" w:rsidR="003213C2" w:rsidRPr="004B465C" w:rsidRDefault="003213C2" w:rsidP="004B465C">
            <w:pPr>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付息</w:t>
            </w:r>
          </w:p>
        </w:tc>
        <w:tc>
          <w:tcPr>
            <w:tcW w:w="407" w:type="pct"/>
            <w:tcBorders>
              <w:top w:val="nil"/>
              <w:left w:val="nil"/>
              <w:bottom w:val="single" w:sz="4" w:space="0" w:color="auto"/>
              <w:right w:val="single" w:sz="4" w:space="0" w:color="auto"/>
            </w:tcBorders>
            <w:shd w:val="clear" w:color="auto" w:fill="auto"/>
            <w:noWrap/>
            <w:vAlign w:val="center"/>
            <w:hideMark/>
          </w:tcPr>
          <w:p w14:paraId="1267F849" w14:textId="3B0326F6"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141.31</w:t>
            </w:r>
          </w:p>
        </w:tc>
        <w:tc>
          <w:tcPr>
            <w:tcW w:w="407" w:type="pct"/>
            <w:tcBorders>
              <w:top w:val="nil"/>
              <w:left w:val="nil"/>
              <w:bottom w:val="single" w:sz="4" w:space="0" w:color="auto"/>
              <w:right w:val="single" w:sz="4" w:space="0" w:color="auto"/>
            </w:tcBorders>
            <w:shd w:val="clear" w:color="auto" w:fill="auto"/>
            <w:noWrap/>
            <w:vAlign w:val="center"/>
            <w:hideMark/>
          </w:tcPr>
          <w:p w14:paraId="39ACB15B" w14:textId="6164A1F3"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1,286.95</w:t>
            </w:r>
          </w:p>
        </w:tc>
        <w:tc>
          <w:tcPr>
            <w:tcW w:w="407" w:type="pct"/>
            <w:tcBorders>
              <w:top w:val="nil"/>
              <w:left w:val="nil"/>
              <w:bottom w:val="single" w:sz="4" w:space="0" w:color="auto"/>
              <w:right w:val="single" w:sz="4" w:space="0" w:color="auto"/>
            </w:tcBorders>
            <w:shd w:val="clear" w:color="auto" w:fill="auto"/>
            <w:noWrap/>
            <w:vAlign w:val="center"/>
            <w:hideMark/>
          </w:tcPr>
          <w:p w14:paraId="311CC9AD" w14:textId="2E41E0D3"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1,939.12</w:t>
            </w:r>
          </w:p>
        </w:tc>
        <w:tc>
          <w:tcPr>
            <w:tcW w:w="406" w:type="pct"/>
            <w:tcBorders>
              <w:top w:val="nil"/>
              <w:left w:val="nil"/>
              <w:bottom w:val="single" w:sz="4" w:space="0" w:color="auto"/>
              <w:right w:val="single" w:sz="4" w:space="0" w:color="auto"/>
            </w:tcBorders>
            <w:shd w:val="clear" w:color="auto" w:fill="auto"/>
            <w:noWrap/>
            <w:vAlign w:val="center"/>
            <w:hideMark/>
          </w:tcPr>
          <w:p w14:paraId="3871AE9E" w14:textId="261F433E"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2,010.02</w:t>
            </w:r>
          </w:p>
        </w:tc>
        <w:tc>
          <w:tcPr>
            <w:tcW w:w="406" w:type="pct"/>
            <w:tcBorders>
              <w:top w:val="nil"/>
              <w:left w:val="nil"/>
              <w:bottom w:val="single" w:sz="4" w:space="0" w:color="auto"/>
              <w:right w:val="single" w:sz="4" w:space="0" w:color="auto"/>
            </w:tcBorders>
            <w:shd w:val="clear" w:color="auto" w:fill="auto"/>
            <w:noWrap/>
            <w:vAlign w:val="center"/>
            <w:hideMark/>
          </w:tcPr>
          <w:p w14:paraId="7C44A2C9" w14:textId="3A1640C1"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2,010.02</w:t>
            </w:r>
          </w:p>
        </w:tc>
        <w:tc>
          <w:tcPr>
            <w:tcW w:w="406" w:type="pct"/>
            <w:tcBorders>
              <w:top w:val="nil"/>
              <w:left w:val="nil"/>
              <w:bottom w:val="single" w:sz="4" w:space="0" w:color="auto"/>
              <w:right w:val="single" w:sz="4" w:space="0" w:color="auto"/>
            </w:tcBorders>
            <w:shd w:val="clear" w:color="auto" w:fill="auto"/>
            <w:noWrap/>
            <w:vAlign w:val="center"/>
            <w:hideMark/>
          </w:tcPr>
          <w:p w14:paraId="7025EC7B" w14:textId="7296D2DD"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2,010.02</w:t>
            </w:r>
          </w:p>
        </w:tc>
        <w:tc>
          <w:tcPr>
            <w:tcW w:w="406" w:type="pct"/>
            <w:tcBorders>
              <w:top w:val="nil"/>
              <w:left w:val="nil"/>
              <w:bottom w:val="single" w:sz="4" w:space="0" w:color="auto"/>
              <w:right w:val="single" w:sz="4" w:space="0" w:color="auto"/>
            </w:tcBorders>
            <w:shd w:val="clear" w:color="auto" w:fill="auto"/>
            <w:noWrap/>
            <w:vAlign w:val="center"/>
            <w:hideMark/>
          </w:tcPr>
          <w:p w14:paraId="79EE2770" w14:textId="53EE9EE5"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2,010.02</w:t>
            </w:r>
          </w:p>
        </w:tc>
        <w:tc>
          <w:tcPr>
            <w:tcW w:w="406" w:type="pct"/>
            <w:tcBorders>
              <w:top w:val="nil"/>
              <w:left w:val="nil"/>
              <w:bottom w:val="single" w:sz="4" w:space="0" w:color="auto"/>
              <w:right w:val="single" w:sz="4" w:space="0" w:color="auto"/>
            </w:tcBorders>
            <w:shd w:val="clear" w:color="auto" w:fill="auto"/>
            <w:noWrap/>
            <w:vAlign w:val="center"/>
            <w:hideMark/>
          </w:tcPr>
          <w:p w14:paraId="406BDE29" w14:textId="6D64DF28"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1,580.72</w:t>
            </w:r>
          </w:p>
        </w:tc>
        <w:tc>
          <w:tcPr>
            <w:tcW w:w="406" w:type="pct"/>
            <w:tcBorders>
              <w:top w:val="nil"/>
              <w:left w:val="nil"/>
              <w:bottom w:val="single" w:sz="4" w:space="0" w:color="auto"/>
              <w:right w:val="single" w:sz="4" w:space="0" w:color="auto"/>
            </w:tcBorders>
            <w:shd w:val="clear" w:color="auto" w:fill="auto"/>
            <w:noWrap/>
            <w:vAlign w:val="center"/>
            <w:hideMark/>
          </w:tcPr>
          <w:p w14:paraId="0536A915" w14:textId="7C636B76"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1,580.72</w:t>
            </w:r>
          </w:p>
        </w:tc>
        <w:tc>
          <w:tcPr>
            <w:tcW w:w="406" w:type="pct"/>
            <w:tcBorders>
              <w:top w:val="nil"/>
              <w:left w:val="nil"/>
              <w:bottom w:val="single" w:sz="4" w:space="0" w:color="auto"/>
              <w:right w:val="single" w:sz="4" w:space="0" w:color="auto"/>
            </w:tcBorders>
            <w:shd w:val="clear" w:color="auto" w:fill="auto"/>
            <w:noWrap/>
            <w:vAlign w:val="center"/>
            <w:hideMark/>
          </w:tcPr>
          <w:p w14:paraId="1D014A78" w14:textId="69CCA862"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1,580.72</w:t>
            </w:r>
          </w:p>
        </w:tc>
      </w:tr>
      <w:tr w:rsidR="003213C2" w:rsidRPr="003213C2" w14:paraId="353B7B58" w14:textId="77777777" w:rsidTr="004B465C">
        <w:trPr>
          <w:trHeight w:val="324"/>
          <w:jc w:val="center"/>
        </w:trPr>
        <w:tc>
          <w:tcPr>
            <w:tcW w:w="936" w:type="pct"/>
            <w:tcBorders>
              <w:top w:val="nil"/>
              <w:left w:val="single" w:sz="4" w:space="0" w:color="auto"/>
              <w:bottom w:val="single" w:sz="4" w:space="0" w:color="auto"/>
              <w:right w:val="single" w:sz="4" w:space="0" w:color="auto"/>
            </w:tcBorders>
            <w:shd w:val="clear" w:color="auto" w:fill="auto"/>
            <w:noWrap/>
            <w:vAlign w:val="center"/>
            <w:hideMark/>
          </w:tcPr>
          <w:p w14:paraId="772F7F08" w14:textId="77777777" w:rsidR="003213C2" w:rsidRPr="004B465C" w:rsidRDefault="003213C2" w:rsidP="004B465C">
            <w:pPr>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期末专项债券余额</w:t>
            </w:r>
          </w:p>
        </w:tc>
        <w:tc>
          <w:tcPr>
            <w:tcW w:w="407" w:type="pct"/>
            <w:tcBorders>
              <w:top w:val="nil"/>
              <w:left w:val="nil"/>
              <w:bottom w:val="single" w:sz="4" w:space="0" w:color="auto"/>
              <w:right w:val="single" w:sz="4" w:space="0" w:color="auto"/>
            </w:tcBorders>
            <w:shd w:val="clear" w:color="auto" w:fill="auto"/>
            <w:noWrap/>
            <w:vAlign w:val="center"/>
            <w:hideMark/>
          </w:tcPr>
          <w:p w14:paraId="74293B95" w14:textId="0E9671EC"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40,400.00</w:t>
            </w:r>
          </w:p>
        </w:tc>
        <w:tc>
          <w:tcPr>
            <w:tcW w:w="407" w:type="pct"/>
            <w:tcBorders>
              <w:top w:val="nil"/>
              <w:left w:val="nil"/>
              <w:bottom w:val="single" w:sz="4" w:space="0" w:color="auto"/>
              <w:right w:val="single" w:sz="4" w:space="0" w:color="auto"/>
            </w:tcBorders>
            <w:shd w:val="clear" w:color="auto" w:fill="auto"/>
            <w:noWrap/>
            <w:vAlign w:val="center"/>
            <w:hideMark/>
          </w:tcPr>
          <w:p w14:paraId="6CDFAFB3" w14:textId="72019645"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65,040.00</w:t>
            </w:r>
          </w:p>
        </w:tc>
        <w:tc>
          <w:tcPr>
            <w:tcW w:w="407" w:type="pct"/>
            <w:tcBorders>
              <w:top w:val="nil"/>
              <w:left w:val="nil"/>
              <w:bottom w:val="single" w:sz="4" w:space="0" w:color="auto"/>
              <w:right w:val="single" w:sz="4" w:space="0" w:color="auto"/>
            </w:tcBorders>
            <w:shd w:val="clear" w:color="auto" w:fill="auto"/>
            <w:noWrap/>
            <w:vAlign w:val="center"/>
            <w:hideMark/>
          </w:tcPr>
          <w:p w14:paraId="5C644782" w14:textId="014217C9"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68,540.00</w:t>
            </w:r>
          </w:p>
        </w:tc>
        <w:tc>
          <w:tcPr>
            <w:tcW w:w="406" w:type="pct"/>
            <w:tcBorders>
              <w:top w:val="nil"/>
              <w:left w:val="nil"/>
              <w:bottom w:val="single" w:sz="4" w:space="0" w:color="auto"/>
              <w:right w:val="single" w:sz="4" w:space="0" w:color="auto"/>
            </w:tcBorders>
            <w:shd w:val="clear" w:color="auto" w:fill="auto"/>
            <w:noWrap/>
            <w:vAlign w:val="center"/>
            <w:hideMark/>
          </w:tcPr>
          <w:p w14:paraId="0E182C35" w14:textId="4468E1F1"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68,540.00</w:t>
            </w:r>
          </w:p>
        </w:tc>
        <w:tc>
          <w:tcPr>
            <w:tcW w:w="406" w:type="pct"/>
            <w:tcBorders>
              <w:top w:val="nil"/>
              <w:left w:val="nil"/>
              <w:bottom w:val="single" w:sz="4" w:space="0" w:color="auto"/>
              <w:right w:val="single" w:sz="4" w:space="0" w:color="auto"/>
            </w:tcBorders>
            <w:shd w:val="clear" w:color="auto" w:fill="auto"/>
            <w:noWrap/>
            <w:vAlign w:val="center"/>
            <w:hideMark/>
          </w:tcPr>
          <w:p w14:paraId="5064A8E5" w14:textId="43307B92"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68,540.00</w:t>
            </w:r>
          </w:p>
        </w:tc>
        <w:tc>
          <w:tcPr>
            <w:tcW w:w="406" w:type="pct"/>
            <w:tcBorders>
              <w:top w:val="nil"/>
              <w:left w:val="nil"/>
              <w:bottom w:val="single" w:sz="4" w:space="0" w:color="auto"/>
              <w:right w:val="single" w:sz="4" w:space="0" w:color="auto"/>
            </w:tcBorders>
            <w:shd w:val="clear" w:color="auto" w:fill="auto"/>
            <w:noWrap/>
            <w:vAlign w:val="center"/>
            <w:hideMark/>
          </w:tcPr>
          <w:p w14:paraId="40B04982" w14:textId="6EEBB28C"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68,540.00</w:t>
            </w:r>
          </w:p>
        </w:tc>
        <w:tc>
          <w:tcPr>
            <w:tcW w:w="406" w:type="pct"/>
            <w:tcBorders>
              <w:top w:val="nil"/>
              <w:left w:val="nil"/>
              <w:bottom w:val="single" w:sz="4" w:space="0" w:color="auto"/>
              <w:right w:val="single" w:sz="4" w:space="0" w:color="auto"/>
            </w:tcBorders>
            <w:shd w:val="clear" w:color="auto" w:fill="auto"/>
            <w:noWrap/>
            <w:vAlign w:val="center"/>
            <w:hideMark/>
          </w:tcPr>
          <w:p w14:paraId="4600E4C8" w14:textId="65D50E94"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52,640.00</w:t>
            </w:r>
          </w:p>
        </w:tc>
        <w:tc>
          <w:tcPr>
            <w:tcW w:w="406" w:type="pct"/>
            <w:tcBorders>
              <w:top w:val="nil"/>
              <w:left w:val="nil"/>
              <w:bottom w:val="single" w:sz="4" w:space="0" w:color="auto"/>
              <w:right w:val="single" w:sz="4" w:space="0" w:color="auto"/>
            </w:tcBorders>
            <w:shd w:val="clear" w:color="auto" w:fill="auto"/>
            <w:noWrap/>
            <w:vAlign w:val="center"/>
            <w:hideMark/>
          </w:tcPr>
          <w:p w14:paraId="2B559D5B" w14:textId="5FD84330"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52,640.00</w:t>
            </w:r>
          </w:p>
        </w:tc>
        <w:tc>
          <w:tcPr>
            <w:tcW w:w="406" w:type="pct"/>
            <w:tcBorders>
              <w:top w:val="nil"/>
              <w:left w:val="nil"/>
              <w:bottom w:val="single" w:sz="4" w:space="0" w:color="auto"/>
              <w:right w:val="single" w:sz="4" w:space="0" w:color="auto"/>
            </w:tcBorders>
            <w:shd w:val="clear" w:color="auto" w:fill="auto"/>
            <w:noWrap/>
            <w:vAlign w:val="center"/>
            <w:hideMark/>
          </w:tcPr>
          <w:p w14:paraId="0E827797" w14:textId="55E585B1"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52,640.00</w:t>
            </w:r>
          </w:p>
        </w:tc>
        <w:tc>
          <w:tcPr>
            <w:tcW w:w="406" w:type="pct"/>
            <w:tcBorders>
              <w:top w:val="nil"/>
              <w:left w:val="nil"/>
              <w:bottom w:val="single" w:sz="4" w:space="0" w:color="auto"/>
              <w:right w:val="single" w:sz="4" w:space="0" w:color="auto"/>
            </w:tcBorders>
            <w:shd w:val="clear" w:color="auto" w:fill="auto"/>
            <w:noWrap/>
            <w:vAlign w:val="center"/>
            <w:hideMark/>
          </w:tcPr>
          <w:p w14:paraId="3E3292EE" w14:textId="71B2D07A" w:rsidR="003213C2" w:rsidRPr="004B465C" w:rsidRDefault="003213C2" w:rsidP="003213C2">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52,640.00</w:t>
            </w:r>
          </w:p>
        </w:tc>
      </w:tr>
    </w:tbl>
    <w:p w14:paraId="218FDC07" w14:textId="3FCADFEB" w:rsidR="00562C50" w:rsidRDefault="00562C50" w:rsidP="003C3C26">
      <w:pPr>
        <w:ind w:right="-37"/>
        <w:jc w:val="right"/>
        <w:rPr>
          <w:rFonts w:ascii="Verdana" w:eastAsia="华文细黑" w:hAnsi="Verdana" w:cs="Calibri"/>
          <w:sz w:val="20"/>
          <w:szCs w:val="20"/>
        </w:rPr>
      </w:pPr>
    </w:p>
    <w:p w14:paraId="1F61A9A5" w14:textId="77777777" w:rsidR="003213C2" w:rsidRDefault="003213C2" w:rsidP="003C3C26">
      <w:pPr>
        <w:ind w:right="-37"/>
        <w:jc w:val="right"/>
        <w:rPr>
          <w:rFonts w:ascii="Verdana" w:eastAsia="华文细黑" w:hAnsi="Verdana" w:cs="Calibri"/>
          <w:sz w:val="20"/>
          <w:szCs w:val="20"/>
        </w:rPr>
      </w:pPr>
    </w:p>
    <w:p w14:paraId="794B3F1F" w14:textId="5C41B0E1" w:rsidR="000D1B9A" w:rsidRPr="007072FB" w:rsidRDefault="00000000">
      <w:pPr>
        <w:spacing w:after="160" w:line="259" w:lineRule="auto"/>
        <w:jc w:val="center"/>
        <w:rPr>
          <w:rFonts w:ascii="Verdana" w:eastAsia="华文细黑" w:hAnsi="Verdana" w:cs="Calibri"/>
          <w:b/>
        </w:rPr>
      </w:pPr>
      <w:r w:rsidRPr="007072FB">
        <w:rPr>
          <w:rFonts w:ascii="Verdana" w:eastAsia="华文细黑" w:hAnsi="Verdana" w:cs="Calibri"/>
          <w:b/>
        </w:rPr>
        <w:t>表</w:t>
      </w:r>
      <w:r w:rsidR="00913C47">
        <w:rPr>
          <w:rFonts w:ascii="Verdana" w:eastAsia="华文细黑" w:hAnsi="Verdana" w:cs="Calibri" w:hint="eastAsia"/>
          <w:b/>
        </w:rPr>
        <w:t>4</w:t>
      </w:r>
      <w:r w:rsidR="00A263CB" w:rsidRPr="007072FB">
        <w:rPr>
          <w:rFonts w:ascii="Verdana" w:eastAsia="华文细黑" w:hAnsi="Verdana" w:cs="Calibri"/>
          <w:b/>
        </w:rPr>
        <w:t>-1</w:t>
      </w:r>
      <w:r w:rsidRPr="007072FB">
        <w:rPr>
          <w:rFonts w:ascii="Verdana" w:eastAsia="华文细黑" w:hAnsi="Verdana" w:cs="Calibri"/>
          <w:b/>
        </w:rPr>
        <w:t>债券还本付息</w:t>
      </w:r>
      <w:r w:rsidR="003213C2">
        <w:rPr>
          <w:rFonts w:ascii="Verdana" w:eastAsia="华文细黑" w:hAnsi="Verdana" w:cs="Calibri" w:hint="eastAsia"/>
          <w:b/>
        </w:rPr>
        <w:t>总</w:t>
      </w:r>
      <w:r w:rsidRPr="007072FB">
        <w:rPr>
          <w:rFonts w:ascii="Verdana" w:eastAsia="华文细黑" w:hAnsi="Verdana" w:cs="Calibri"/>
          <w:b/>
        </w:rPr>
        <w:t>表（续表）</w:t>
      </w:r>
    </w:p>
    <w:p w14:paraId="0A98ED4F" w14:textId="77777777" w:rsidR="00AD74A1" w:rsidRDefault="00000000" w:rsidP="003C3C26">
      <w:pPr>
        <w:ind w:right="105"/>
        <w:jc w:val="right"/>
        <w:rPr>
          <w:rFonts w:ascii="Verdana" w:eastAsia="华文细黑" w:hAnsi="Verdana" w:cs="Calibri"/>
          <w:sz w:val="20"/>
          <w:szCs w:val="20"/>
        </w:rPr>
      </w:pPr>
      <w:r w:rsidRPr="007072FB">
        <w:rPr>
          <w:rFonts w:ascii="Verdana" w:eastAsia="华文细黑" w:hAnsi="Verdana" w:cs="Calibri"/>
          <w:sz w:val="20"/>
          <w:szCs w:val="20"/>
        </w:rPr>
        <w:t>单位：人民币万元</w:t>
      </w:r>
    </w:p>
    <w:tbl>
      <w:tblPr>
        <w:tblW w:w="5418" w:type="pct"/>
        <w:jc w:val="center"/>
        <w:tblLook w:val="04A0" w:firstRow="1" w:lastRow="0" w:firstColumn="1" w:lastColumn="0" w:noHBand="0" w:noVBand="1"/>
      </w:tblPr>
      <w:tblGrid>
        <w:gridCol w:w="1969"/>
        <w:gridCol w:w="1382"/>
        <w:gridCol w:w="1381"/>
        <w:gridCol w:w="1381"/>
        <w:gridCol w:w="1381"/>
        <w:gridCol w:w="1381"/>
        <w:gridCol w:w="1381"/>
        <w:gridCol w:w="1381"/>
        <w:gridCol w:w="1381"/>
        <w:gridCol w:w="1370"/>
      </w:tblGrid>
      <w:tr w:rsidR="003575AC" w:rsidRPr="00AD74A1" w14:paraId="013134B3" w14:textId="77777777" w:rsidTr="003575AC">
        <w:trPr>
          <w:trHeight w:val="305"/>
          <w:jc w:val="center"/>
        </w:trPr>
        <w:tc>
          <w:tcPr>
            <w:tcW w:w="684" w:type="pct"/>
            <w:tcBorders>
              <w:top w:val="single" w:sz="4" w:space="0" w:color="auto"/>
              <w:left w:val="single" w:sz="4" w:space="0" w:color="auto"/>
              <w:bottom w:val="single" w:sz="4" w:space="0" w:color="auto"/>
              <w:right w:val="single" w:sz="4" w:space="0" w:color="auto"/>
            </w:tcBorders>
            <w:shd w:val="clear" w:color="000000" w:fill="0070C0"/>
            <w:noWrap/>
            <w:vAlign w:val="center"/>
            <w:hideMark/>
          </w:tcPr>
          <w:p w14:paraId="27D4B443" w14:textId="4F9BE324" w:rsidR="00AD74A1" w:rsidRPr="004B465C" w:rsidRDefault="00AD74A1" w:rsidP="00AD74A1">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hint="eastAsia"/>
                <w:b/>
                <w:bCs/>
                <w:color w:val="FFFFFF"/>
                <w:sz w:val="20"/>
                <w:szCs w:val="20"/>
              </w:rPr>
              <w:t>年</w:t>
            </w:r>
            <w:r w:rsidR="002336D9">
              <w:rPr>
                <w:rFonts w:asciiTheme="minorHAnsi" w:eastAsia="华文细黑" w:hAnsiTheme="minorHAnsi" w:cs="宋体" w:hint="eastAsia"/>
                <w:b/>
                <w:bCs/>
                <w:color w:val="FFFFFF"/>
                <w:sz w:val="20"/>
                <w:szCs w:val="20"/>
              </w:rPr>
              <w:t>度</w:t>
            </w:r>
          </w:p>
        </w:tc>
        <w:tc>
          <w:tcPr>
            <w:tcW w:w="480" w:type="pct"/>
            <w:tcBorders>
              <w:top w:val="single" w:sz="4" w:space="0" w:color="auto"/>
              <w:left w:val="nil"/>
              <w:bottom w:val="single" w:sz="4" w:space="0" w:color="auto"/>
              <w:right w:val="single" w:sz="4" w:space="0" w:color="auto"/>
            </w:tcBorders>
            <w:shd w:val="clear" w:color="000000" w:fill="0070C0"/>
            <w:noWrap/>
            <w:vAlign w:val="center"/>
            <w:hideMark/>
          </w:tcPr>
          <w:p w14:paraId="26142989" w14:textId="77777777" w:rsidR="00AD74A1" w:rsidRPr="004B465C" w:rsidRDefault="00AD74A1" w:rsidP="00AD74A1">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2032</w:t>
            </w:r>
          </w:p>
        </w:tc>
        <w:tc>
          <w:tcPr>
            <w:tcW w:w="480" w:type="pct"/>
            <w:tcBorders>
              <w:top w:val="single" w:sz="4" w:space="0" w:color="auto"/>
              <w:left w:val="nil"/>
              <w:bottom w:val="single" w:sz="4" w:space="0" w:color="auto"/>
              <w:right w:val="single" w:sz="4" w:space="0" w:color="auto"/>
            </w:tcBorders>
            <w:shd w:val="clear" w:color="000000" w:fill="0070C0"/>
            <w:noWrap/>
            <w:vAlign w:val="center"/>
            <w:hideMark/>
          </w:tcPr>
          <w:p w14:paraId="6E8A3346" w14:textId="77777777" w:rsidR="00AD74A1" w:rsidRPr="004B465C" w:rsidRDefault="00AD74A1" w:rsidP="00AD74A1">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2033</w:t>
            </w:r>
          </w:p>
        </w:tc>
        <w:tc>
          <w:tcPr>
            <w:tcW w:w="480" w:type="pct"/>
            <w:tcBorders>
              <w:top w:val="single" w:sz="4" w:space="0" w:color="auto"/>
              <w:left w:val="nil"/>
              <w:bottom w:val="single" w:sz="4" w:space="0" w:color="auto"/>
              <w:right w:val="single" w:sz="4" w:space="0" w:color="auto"/>
            </w:tcBorders>
            <w:shd w:val="clear" w:color="000000" w:fill="0070C0"/>
            <w:noWrap/>
            <w:vAlign w:val="center"/>
            <w:hideMark/>
          </w:tcPr>
          <w:p w14:paraId="46DE01B6" w14:textId="77777777" w:rsidR="00AD74A1" w:rsidRPr="004B465C" w:rsidRDefault="00AD74A1" w:rsidP="00AD74A1">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2034</w:t>
            </w:r>
          </w:p>
        </w:tc>
        <w:tc>
          <w:tcPr>
            <w:tcW w:w="480" w:type="pct"/>
            <w:tcBorders>
              <w:top w:val="single" w:sz="4" w:space="0" w:color="auto"/>
              <w:left w:val="nil"/>
              <w:bottom w:val="single" w:sz="4" w:space="0" w:color="auto"/>
              <w:right w:val="single" w:sz="4" w:space="0" w:color="auto"/>
            </w:tcBorders>
            <w:shd w:val="clear" w:color="000000" w:fill="0070C0"/>
            <w:noWrap/>
            <w:vAlign w:val="center"/>
            <w:hideMark/>
          </w:tcPr>
          <w:p w14:paraId="4DF47191" w14:textId="77777777" w:rsidR="00AD74A1" w:rsidRPr="004B465C" w:rsidRDefault="00AD74A1" w:rsidP="00AD74A1">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2035</w:t>
            </w:r>
          </w:p>
        </w:tc>
        <w:tc>
          <w:tcPr>
            <w:tcW w:w="480" w:type="pct"/>
            <w:tcBorders>
              <w:top w:val="single" w:sz="4" w:space="0" w:color="auto"/>
              <w:left w:val="nil"/>
              <w:bottom w:val="single" w:sz="4" w:space="0" w:color="auto"/>
              <w:right w:val="single" w:sz="4" w:space="0" w:color="auto"/>
            </w:tcBorders>
            <w:shd w:val="clear" w:color="000000" w:fill="0070C0"/>
            <w:noWrap/>
            <w:vAlign w:val="center"/>
            <w:hideMark/>
          </w:tcPr>
          <w:p w14:paraId="35B5A856" w14:textId="77777777" w:rsidR="00AD74A1" w:rsidRPr="004B465C" w:rsidRDefault="00AD74A1" w:rsidP="00AD74A1">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2036</w:t>
            </w:r>
          </w:p>
        </w:tc>
        <w:tc>
          <w:tcPr>
            <w:tcW w:w="480" w:type="pct"/>
            <w:tcBorders>
              <w:top w:val="single" w:sz="4" w:space="0" w:color="auto"/>
              <w:left w:val="nil"/>
              <w:bottom w:val="single" w:sz="4" w:space="0" w:color="auto"/>
              <w:right w:val="single" w:sz="4" w:space="0" w:color="auto"/>
            </w:tcBorders>
            <w:shd w:val="clear" w:color="000000" w:fill="0070C0"/>
            <w:noWrap/>
            <w:vAlign w:val="center"/>
            <w:hideMark/>
          </w:tcPr>
          <w:p w14:paraId="1507AADC" w14:textId="77777777" w:rsidR="00AD74A1" w:rsidRPr="004B465C" w:rsidRDefault="00AD74A1" w:rsidP="00AD74A1">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2037</w:t>
            </w:r>
          </w:p>
        </w:tc>
        <w:tc>
          <w:tcPr>
            <w:tcW w:w="480" w:type="pct"/>
            <w:tcBorders>
              <w:top w:val="single" w:sz="4" w:space="0" w:color="auto"/>
              <w:left w:val="nil"/>
              <w:bottom w:val="single" w:sz="4" w:space="0" w:color="auto"/>
              <w:right w:val="single" w:sz="4" w:space="0" w:color="auto"/>
            </w:tcBorders>
            <w:shd w:val="clear" w:color="000000" w:fill="0070C0"/>
            <w:noWrap/>
            <w:vAlign w:val="center"/>
            <w:hideMark/>
          </w:tcPr>
          <w:p w14:paraId="62327590" w14:textId="77777777" w:rsidR="00AD74A1" w:rsidRPr="004B465C" w:rsidRDefault="00AD74A1" w:rsidP="00AD74A1">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2038</w:t>
            </w:r>
          </w:p>
        </w:tc>
        <w:tc>
          <w:tcPr>
            <w:tcW w:w="480" w:type="pct"/>
            <w:tcBorders>
              <w:top w:val="single" w:sz="4" w:space="0" w:color="auto"/>
              <w:left w:val="nil"/>
              <w:bottom w:val="single" w:sz="4" w:space="0" w:color="auto"/>
              <w:right w:val="single" w:sz="4" w:space="0" w:color="auto"/>
            </w:tcBorders>
            <w:shd w:val="clear" w:color="000000" w:fill="0070C0"/>
            <w:noWrap/>
            <w:vAlign w:val="center"/>
            <w:hideMark/>
          </w:tcPr>
          <w:p w14:paraId="44D505A1" w14:textId="77777777" w:rsidR="00AD74A1" w:rsidRPr="004B465C" w:rsidRDefault="00AD74A1" w:rsidP="00AD74A1">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2039</w:t>
            </w:r>
          </w:p>
        </w:tc>
        <w:tc>
          <w:tcPr>
            <w:tcW w:w="480" w:type="pct"/>
            <w:tcBorders>
              <w:top w:val="single" w:sz="4" w:space="0" w:color="auto"/>
              <w:left w:val="nil"/>
              <w:bottom w:val="single" w:sz="4" w:space="0" w:color="auto"/>
              <w:right w:val="single" w:sz="4" w:space="0" w:color="auto"/>
            </w:tcBorders>
            <w:shd w:val="clear" w:color="000000" w:fill="0070C0"/>
            <w:noWrap/>
            <w:vAlign w:val="center"/>
            <w:hideMark/>
          </w:tcPr>
          <w:p w14:paraId="3B45D60B" w14:textId="77777777" w:rsidR="00AD74A1" w:rsidRPr="004B465C" w:rsidRDefault="00AD74A1" w:rsidP="00AD74A1">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hint="eastAsia"/>
                <w:b/>
                <w:bCs/>
                <w:color w:val="FFFFFF"/>
                <w:sz w:val="20"/>
                <w:szCs w:val="20"/>
              </w:rPr>
              <w:t>合计</w:t>
            </w:r>
          </w:p>
        </w:tc>
      </w:tr>
      <w:tr w:rsidR="00B90F8D" w:rsidRPr="00AD74A1" w14:paraId="18729E8D" w14:textId="77777777" w:rsidTr="004B465C">
        <w:trPr>
          <w:trHeight w:val="305"/>
          <w:jc w:val="center"/>
        </w:trPr>
        <w:tc>
          <w:tcPr>
            <w:tcW w:w="684" w:type="pct"/>
            <w:tcBorders>
              <w:top w:val="nil"/>
              <w:left w:val="single" w:sz="4" w:space="0" w:color="auto"/>
              <w:bottom w:val="single" w:sz="4" w:space="0" w:color="auto"/>
              <w:right w:val="single" w:sz="4" w:space="0" w:color="auto"/>
            </w:tcBorders>
            <w:shd w:val="clear" w:color="auto" w:fill="auto"/>
            <w:noWrap/>
            <w:vAlign w:val="center"/>
            <w:hideMark/>
          </w:tcPr>
          <w:p w14:paraId="57BF5C31" w14:textId="77777777" w:rsidR="00AD74A1" w:rsidRPr="004B465C" w:rsidRDefault="00AD74A1" w:rsidP="004B465C">
            <w:pPr>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期初专项债券余额</w:t>
            </w:r>
          </w:p>
        </w:tc>
        <w:tc>
          <w:tcPr>
            <w:tcW w:w="480" w:type="pct"/>
            <w:tcBorders>
              <w:top w:val="nil"/>
              <w:left w:val="nil"/>
              <w:bottom w:val="single" w:sz="4" w:space="0" w:color="auto"/>
              <w:right w:val="single" w:sz="4" w:space="0" w:color="auto"/>
            </w:tcBorders>
            <w:shd w:val="clear" w:color="auto" w:fill="auto"/>
            <w:noWrap/>
            <w:vAlign w:val="center"/>
            <w:hideMark/>
          </w:tcPr>
          <w:p w14:paraId="6340A13C" w14:textId="0DF3FE0A"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52,640.00</w:t>
            </w:r>
          </w:p>
        </w:tc>
        <w:tc>
          <w:tcPr>
            <w:tcW w:w="480" w:type="pct"/>
            <w:tcBorders>
              <w:top w:val="nil"/>
              <w:left w:val="nil"/>
              <w:bottom w:val="single" w:sz="4" w:space="0" w:color="auto"/>
              <w:right w:val="single" w:sz="4" w:space="0" w:color="auto"/>
            </w:tcBorders>
            <w:shd w:val="clear" w:color="auto" w:fill="auto"/>
            <w:noWrap/>
            <w:vAlign w:val="center"/>
            <w:hideMark/>
          </w:tcPr>
          <w:p w14:paraId="41767382" w14:textId="26C0F7DE"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43,240.00</w:t>
            </w:r>
          </w:p>
        </w:tc>
        <w:tc>
          <w:tcPr>
            <w:tcW w:w="480" w:type="pct"/>
            <w:tcBorders>
              <w:top w:val="nil"/>
              <w:left w:val="nil"/>
              <w:bottom w:val="single" w:sz="4" w:space="0" w:color="auto"/>
              <w:right w:val="single" w:sz="4" w:space="0" w:color="auto"/>
            </w:tcBorders>
            <w:shd w:val="clear" w:color="auto" w:fill="auto"/>
            <w:noWrap/>
            <w:vAlign w:val="center"/>
            <w:hideMark/>
          </w:tcPr>
          <w:p w14:paraId="783A0D9A" w14:textId="7DDE5CD9"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34,500.00</w:t>
            </w:r>
          </w:p>
        </w:tc>
        <w:tc>
          <w:tcPr>
            <w:tcW w:w="480" w:type="pct"/>
            <w:tcBorders>
              <w:top w:val="nil"/>
              <w:left w:val="nil"/>
              <w:bottom w:val="single" w:sz="4" w:space="0" w:color="auto"/>
              <w:right w:val="single" w:sz="4" w:space="0" w:color="auto"/>
            </w:tcBorders>
            <w:shd w:val="clear" w:color="auto" w:fill="auto"/>
            <w:noWrap/>
            <w:vAlign w:val="center"/>
            <w:hideMark/>
          </w:tcPr>
          <w:p w14:paraId="6628C2CE" w14:textId="5F224938"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33,500.00</w:t>
            </w:r>
          </w:p>
        </w:tc>
        <w:tc>
          <w:tcPr>
            <w:tcW w:w="480" w:type="pct"/>
            <w:tcBorders>
              <w:top w:val="nil"/>
              <w:left w:val="nil"/>
              <w:bottom w:val="single" w:sz="4" w:space="0" w:color="auto"/>
              <w:right w:val="single" w:sz="4" w:space="0" w:color="auto"/>
            </w:tcBorders>
            <w:shd w:val="clear" w:color="auto" w:fill="auto"/>
            <w:noWrap/>
            <w:vAlign w:val="center"/>
            <w:hideMark/>
          </w:tcPr>
          <w:p w14:paraId="44C64E66" w14:textId="11CCD3E1"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33,500.00</w:t>
            </w:r>
          </w:p>
        </w:tc>
        <w:tc>
          <w:tcPr>
            <w:tcW w:w="480" w:type="pct"/>
            <w:tcBorders>
              <w:top w:val="nil"/>
              <w:left w:val="nil"/>
              <w:bottom w:val="single" w:sz="4" w:space="0" w:color="auto"/>
              <w:right w:val="single" w:sz="4" w:space="0" w:color="auto"/>
            </w:tcBorders>
            <w:shd w:val="clear" w:color="auto" w:fill="auto"/>
            <w:noWrap/>
            <w:vAlign w:val="center"/>
            <w:hideMark/>
          </w:tcPr>
          <w:p w14:paraId="06BA78AC" w14:textId="7DF97350"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33,500.00</w:t>
            </w:r>
          </w:p>
        </w:tc>
        <w:tc>
          <w:tcPr>
            <w:tcW w:w="480" w:type="pct"/>
            <w:tcBorders>
              <w:top w:val="nil"/>
              <w:left w:val="nil"/>
              <w:bottom w:val="single" w:sz="4" w:space="0" w:color="auto"/>
              <w:right w:val="single" w:sz="4" w:space="0" w:color="auto"/>
            </w:tcBorders>
            <w:shd w:val="clear" w:color="auto" w:fill="auto"/>
            <w:noWrap/>
            <w:vAlign w:val="center"/>
            <w:hideMark/>
          </w:tcPr>
          <w:p w14:paraId="3AB41B40" w14:textId="06E8C88F"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2,500.00</w:t>
            </w:r>
          </w:p>
        </w:tc>
        <w:tc>
          <w:tcPr>
            <w:tcW w:w="480" w:type="pct"/>
            <w:tcBorders>
              <w:top w:val="nil"/>
              <w:left w:val="nil"/>
              <w:bottom w:val="single" w:sz="4" w:space="0" w:color="auto"/>
              <w:right w:val="single" w:sz="4" w:space="0" w:color="auto"/>
            </w:tcBorders>
            <w:shd w:val="clear" w:color="auto" w:fill="auto"/>
            <w:noWrap/>
            <w:vAlign w:val="center"/>
            <w:hideMark/>
          </w:tcPr>
          <w:p w14:paraId="2A864C01" w14:textId="0909BE6F"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2,000.00</w:t>
            </w:r>
          </w:p>
        </w:tc>
        <w:tc>
          <w:tcPr>
            <w:tcW w:w="480" w:type="pct"/>
            <w:tcBorders>
              <w:top w:val="nil"/>
              <w:left w:val="nil"/>
              <w:bottom w:val="single" w:sz="4" w:space="0" w:color="auto"/>
              <w:right w:val="single" w:sz="4" w:space="0" w:color="auto"/>
            </w:tcBorders>
            <w:shd w:val="clear" w:color="auto" w:fill="auto"/>
            <w:noWrap/>
            <w:vAlign w:val="center"/>
            <w:hideMark/>
          </w:tcPr>
          <w:p w14:paraId="7D1E8F76" w14:textId="55DB6EC1" w:rsidR="00AD74A1" w:rsidRPr="004B465C" w:rsidRDefault="00AD74A1" w:rsidP="004B465C">
            <w:pPr>
              <w:jc w:val="right"/>
              <w:rPr>
                <w:rFonts w:asciiTheme="minorHAnsi" w:eastAsia="华文细黑" w:hAnsiTheme="minorHAnsi" w:cs="宋体"/>
                <w:b/>
                <w:bCs/>
                <w:color w:val="000000"/>
                <w:sz w:val="20"/>
                <w:szCs w:val="20"/>
              </w:rPr>
            </w:pPr>
          </w:p>
        </w:tc>
      </w:tr>
      <w:tr w:rsidR="00B90F8D" w:rsidRPr="00AD74A1" w14:paraId="43F0BC42" w14:textId="77777777" w:rsidTr="004B465C">
        <w:trPr>
          <w:trHeight w:val="305"/>
          <w:jc w:val="center"/>
        </w:trPr>
        <w:tc>
          <w:tcPr>
            <w:tcW w:w="684" w:type="pct"/>
            <w:tcBorders>
              <w:top w:val="nil"/>
              <w:left w:val="single" w:sz="4" w:space="0" w:color="auto"/>
              <w:bottom w:val="single" w:sz="4" w:space="0" w:color="auto"/>
              <w:right w:val="single" w:sz="4" w:space="0" w:color="auto"/>
            </w:tcBorders>
            <w:shd w:val="clear" w:color="auto" w:fill="auto"/>
            <w:noWrap/>
            <w:vAlign w:val="center"/>
            <w:hideMark/>
          </w:tcPr>
          <w:p w14:paraId="0039444B" w14:textId="34D88D36" w:rsidR="00AD74A1" w:rsidRPr="004B465C" w:rsidRDefault="00AD74A1" w:rsidP="004B465C">
            <w:pPr>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专项债券发行</w:t>
            </w:r>
          </w:p>
        </w:tc>
        <w:tc>
          <w:tcPr>
            <w:tcW w:w="480" w:type="pct"/>
            <w:tcBorders>
              <w:top w:val="nil"/>
              <w:left w:val="nil"/>
              <w:bottom w:val="single" w:sz="4" w:space="0" w:color="auto"/>
              <w:right w:val="single" w:sz="4" w:space="0" w:color="auto"/>
            </w:tcBorders>
            <w:shd w:val="clear" w:color="auto" w:fill="auto"/>
            <w:noWrap/>
            <w:vAlign w:val="center"/>
            <w:hideMark/>
          </w:tcPr>
          <w:p w14:paraId="2FFDA626" w14:textId="2C5FA02C"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80" w:type="pct"/>
            <w:tcBorders>
              <w:top w:val="nil"/>
              <w:left w:val="nil"/>
              <w:bottom w:val="single" w:sz="4" w:space="0" w:color="auto"/>
              <w:right w:val="single" w:sz="4" w:space="0" w:color="auto"/>
            </w:tcBorders>
            <w:shd w:val="clear" w:color="auto" w:fill="auto"/>
            <w:noWrap/>
            <w:vAlign w:val="center"/>
            <w:hideMark/>
          </w:tcPr>
          <w:p w14:paraId="30DBBC6D" w14:textId="1F6E946B"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80" w:type="pct"/>
            <w:tcBorders>
              <w:top w:val="nil"/>
              <w:left w:val="nil"/>
              <w:bottom w:val="single" w:sz="4" w:space="0" w:color="auto"/>
              <w:right w:val="single" w:sz="4" w:space="0" w:color="auto"/>
            </w:tcBorders>
            <w:shd w:val="clear" w:color="auto" w:fill="auto"/>
            <w:noWrap/>
            <w:vAlign w:val="center"/>
            <w:hideMark/>
          </w:tcPr>
          <w:p w14:paraId="78D8616F" w14:textId="79D87657"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80" w:type="pct"/>
            <w:tcBorders>
              <w:top w:val="nil"/>
              <w:left w:val="nil"/>
              <w:bottom w:val="single" w:sz="4" w:space="0" w:color="auto"/>
              <w:right w:val="single" w:sz="4" w:space="0" w:color="auto"/>
            </w:tcBorders>
            <w:shd w:val="clear" w:color="auto" w:fill="auto"/>
            <w:noWrap/>
            <w:vAlign w:val="center"/>
            <w:hideMark/>
          </w:tcPr>
          <w:p w14:paraId="201ED63D" w14:textId="538E5304"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80" w:type="pct"/>
            <w:tcBorders>
              <w:top w:val="nil"/>
              <w:left w:val="nil"/>
              <w:bottom w:val="single" w:sz="4" w:space="0" w:color="auto"/>
              <w:right w:val="single" w:sz="4" w:space="0" w:color="auto"/>
            </w:tcBorders>
            <w:shd w:val="clear" w:color="auto" w:fill="auto"/>
            <w:noWrap/>
            <w:vAlign w:val="center"/>
            <w:hideMark/>
          </w:tcPr>
          <w:p w14:paraId="5A0D9FD3" w14:textId="0B159829"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80" w:type="pct"/>
            <w:tcBorders>
              <w:top w:val="nil"/>
              <w:left w:val="nil"/>
              <w:bottom w:val="single" w:sz="4" w:space="0" w:color="auto"/>
              <w:right w:val="single" w:sz="4" w:space="0" w:color="auto"/>
            </w:tcBorders>
            <w:shd w:val="clear" w:color="auto" w:fill="auto"/>
            <w:noWrap/>
            <w:vAlign w:val="center"/>
            <w:hideMark/>
          </w:tcPr>
          <w:p w14:paraId="57B94E4C" w14:textId="4816565E"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80" w:type="pct"/>
            <w:tcBorders>
              <w:top w:val="nil"/>
              <w:left w:val="nil"/>
              <w:bottom w:val="single" w:sz="4" w:space="0" w:color="auto"/>
              <w:right w:val="single" w:sz="4" w:space="0" w:color="auto"/>
            </w:tcBorders>
            <w:shd w:val="clear" w:color="auto" w:fill="auto"/>
            <w:noWrap/>
            <w:vAlign w:val="center"/>
            <w:hideMark/>
          </w:tcPr>
          <w:p w14:paraId="7AFDA1FB" w14:textId="34ED2F8A"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80" w:type="pct"/>
            <w:tcBorders>
              <w:top w:val="nil"/>
              <w:left w:val="nil"/>
              <w:bottom w:val="single" w:sz="4" w:space="0" w:color="auto"/>
              <w:right w:val="single" w:sz="4" w:space="0" w:color="auto"/>
            </w:tcBorders>
            <w:shd w:val="clear" w:color="auto" w:fill="auto"/>
            <w:noWrap/>
            <w:vAlign w:val="center"/>
            <w:hideMark/>
          </w:tcPr>
          <w:p w14:paraId="6F3C1B5B" w14:textId="2A2F0173"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80" w:type="pct"/>
            <w:tcBorders>
              <w:top w:val="nil"/>
              <w:left w:val="nil"/>
              <w:bottom w:val="single" w:sz="4" w:space="0" w:color="auto"/>
              <w:right w:val="single" w:sz="4" w:space="0" w:color="auto"/>
            </w:tcBorders>
            <w:shd w:val="clear" w:color="auto" w:fill="auto"/>
            <w:noWrap/>
            <w:vAlign w:val="center"/>
            <w:hideMark/>
          </w:tcPr>
          <w:p w14:paraId="6FF277F4" w14:textId="7E228593" w:rsidR="00AD74A1" w:rsidRPr="004B465C" w:rsidRDefault="00AD74A1" w:rsidP="004B465C">
            <w:pPr>
              <w:jc w:val="right"/>
              <w:rPr>
                <w:rFonts w:asciiTheme="minorHAnsi" w:eastAsia="华文细黑" w:hAnsiTheme="minorHAnsi" w:cs="宋体"/>
                <w:b/>
                <w:bCs/>
                <w:color w:val="000000"/>
                <w:sz w:val="20"/>
                <w:szCs w:val="20"/>
              </w:rPr>
            </w:pPr>
            <w:r w:rsidRPr="004B465C">
              <w:rPr>
                <w:rFonts w:asciiTheme="minorHAnsi" w:eastAsia="华文细黑" w:hAnsiTheme="minorHAnsi" w:cs="宋体"/>
                <w:b/>
                <w:bCs/>
                <w:color w:val="000000"/>
                <w:sz w:val="20"/>
                <w:szCs w:val="20"/>
              </w:rPr>
              <w:t>68,540.00</w:t>
            </w:r>
          </w:p>
        </w:tc>
      </w:tr>
      <w:tr w:rsidR="00B90F8D" w:rsidRPr="00AD74A1" w14:paraId="23091896" w14:textId="77777777" w:rsidTr="004B465C">
        <w:trPr>
          <w:trHeight w:val="305"/>
          <w:jc w:val="center"/>
        </w:trPr>
        <w:tc>
          <w:tcPr>
            <w:tcW w:w="684" w:type="pct"/>
            <w:tcBorders>
              <w:top w:val="nil"/>
              <w:left w:val="single" w:sz="4" w:space="0" w:color="auto"/>
              <w:bottom w:val="single" w:sz="4" w:space="0" w:color="auto"/>
              <w:right w:val="single" w:sz="4" w:space="0" w:color="auto"/>
            </w:tcBorders>
            <w:shd w:val="clear" w:color="auto" w:fill="auto"/>
            <w:noWrap/>
            <w:vAlign w:val="center"/>
            <w:hideMark/>
          </w:tcPr>
          <w:p w14:paraId="05730A1F" w14:textId="77777777" w:rsidR="00AD74A1" w:rsidRPr="004B465C" w:rsidRDefault="00AD74A1" w:rsidP="004B465C">
            <w:pPr>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利息支出</w:t>
            </w:r>
          </w:p>
        </w:tc>
        <w:tc>
          <w:tcPr>
            <w:tcW w:w="480" w:type="pct"/>
            <w:tcBorders>
              <w:top w:val="nil"/>
              <w:left w:val="nil"/>
              <w:bottom w:val="single" w:sz="4" w:space="0" w:color="auto"/>
              <w:right w:val="single" w:sz="4" w:space="0" w:color="auto"/>
            </w:tcBorders>
            <w:shd w:val="clear" w:color="auto" w:fill="auto"/>
            <w:noWrap/>
            <w:vAlign w:val="center"/>
            <w:hideMark/>
          </w:tcPr>
          <w:p w14:paraId="2957E815" w14:textId="6AB45E29"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1,439.41</w:t>
            </w:r>
          </w:p>
        </w:tc>
        <w:tc>
          <w:tcPr>
            <w:tcW w:w="480" w:type="pct"/>
            <w:tcBorders>
              <w:top w:val="nil"/>
              <w:left w:val="nil"/>
              <w:bottom w:val="single" w:sz="4" w:space="0" w:color="auto"/>
              <w:right w:val="single" w:sz="4" w:space="0" w:color="auto"/>
            </w:tcBorders>
            <w:shd w:val="clear" w:color="auto" w:fill="auto"/>
            <w:noWrap/>
            <w:vAlign w:val="center"/>
            <w:hideMark/>
          </w:tcPr>
          <w:p w14:paraId="2C6F3689" w14:textId="56AA27C0"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1,245.47</w:t>
            </w:r>
          </w:p>
        </w:tc>
        <w:tc>
          <w:tcPr>
            <w:tcW w:w="480" w:type="pct"/>
            <w:tcBorders>
              <w:top w:val="nil"/>
              <w:left w:val="nil"/>
              <w:bottom w:val="single" w:sz="4" w:space="0" w:color="auto"/>
              <w:right w:val="single" w:sz="4" w:space="0" w:color="auto"/>
            </w:tcBorders>
            <w:shd w:val="clear" w:color="auto" w:fill="auto"/>
            <w:noWrap/>
            <w:vAlign w:val="center"/>
            <w:hideMark/>
          </w:tcPr>
          <w:p w14:paraId="418BF57E" w14:textId="6D22934A"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1,037.55</w:t>
            </w:r>
          </w:p>
        </w:tc>
        <w:tc>
          <w:tcPr>
            <w:tcW w:w="480" w:type="pct"/>
            <w:tcBorders>
              <w:top w:val="nil"/>
              <w:left w:val="nil"/>
              <w:bottom w:val="single" w:sz="4" w:space="0" w:color="auto"/>
              <w:right w:val="single" w:sz="4" w:space="0" w:color="auto"/>
            </w:tcBorders>
            <w:shd w:val="clear" w:color="auto" w:fill="auto"/>
            <w:noWrap/>
            <w:vAlign w:val="center"/>
            <w:hideMark/>
          </w:tcPr>
          <w:p w14:paraId="3155C6CE" w14:textId="6657ACCF"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1,014.65</w:t>
            </w:r>
          </w:p>
        </w:tc>
        <w:tc>
          <w:tcPr>
            <w:tcW w:w="480" w:type="pct"/>
            <w:tcBorders>
              <w:top w:val="nil"/>
              <w:left w:val="nil"/>
              <w:bottom w:val="single" w:sz="4" w:space="0" w:color="auto"/>
              <w:right w:val="single" w:sz="4" w:space="0" w:color="auto"/>
            </w:tcBorders>
            <w:shd w:val="clear" w:color="auto" w:fill="auto"/>
            <w:noWrap/>
            <w:vAlign w:val="center"/>
            <w:hideMark/>
          </w:tcPr>
          <w:p w14:paraId="42B8931E" w14:textId="683D6588"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1,014.65</w:t>
            </w:r>
          </w:p>
        </w:tc>
        <w:tc>
          <w:tcPr>
            <w:tcW w:w="480" w:type="pct"/>
            <w:tcBorders>
              <w:top w:val="nil"/>
              <w:left w:val="nil"/>
              <w:bottom w:val="single" w:sz="4" w:space="0" w:color="auto"/>
              <w:right w:val="single" w:sz="4" w:space="0" w:color="auto"/>
            </w:tcBorders>
            <w:shd w:val="clear" w:color="auto" w:fill="auto"/>
            <w:noWrap/>
            <w:vAlign w:val="center"/>
            <w:hideMark/>
          </w:tcPr>
          <w:p w14:paraId="3DF0CE46" w14:textId="7002ACC4"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1,014.65</w:t>
            </w:r>
          </w:p>
        </w:tc>
        <w:tc>
          <w:tcPr>
            <w:tcW w:w="480" w:type="pct"/>
            <w:tcBorders>
              <w:top w:val="nil"/>
              <w:left w:val="nil"/>
              <w:bottom w:val="single" w:sz="4" w:space="0" w:color="auto"/>
              <w:right w:val="single" w:sz="4" w:space="0" w:color="auto"/>
            </w:tcBorders>
            <w:shd w:val="clear" w:color="auto" w:fill="auto"/>
            <w:noWrap/>
            <w:vAlign w:val="center"/>
            <w:hideMark/>
          </w:tcPr>
          <w:p w14:paraId="5A262E3E" w14:textId="0090AF0D"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55.48</w:t>
            </w:r>
          </w:p>
        </w:tc>
        <w:tc>
          <w:tcPr>
            <w:tcW w:w="480" w:type="pct"/>
            <w:tcBorders>
              <w:top w:val="nil"/>
              <w:left w:val="nil"/>
              <w:bottom w:val="single" w:sz="4" w:space="0" w:color="auto"/>
              <w:right w:val="single" w:sz="4" w:space="0" w:color="auto"/>
            </w:tcBorders>
            <w:shd w:val="clear" w:color="auto" w:fill="auto"/>
            <w:noWrap/>
            <w:vAlign w:val="center"/>
            <w:hideMark/>
          </w:tcPr>
          <w:p w14:paraId="05C8E010" w14:textId="6DDA6217"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48.00</w:t>
            </w:r>
          </w:p>
        </w:tc>
        <w:tc>
          <w:tcPr>
            <w:tcW w:w="480" w:type="pct"/>
            <w:tcBorders>
              <w:top w:val="nil"/>
              <w:left w:val="nil"/>
              <w:bottom w:val="single" w:sz="4" w:space="0" w:color="auto"/>
              <w:right w:val="single" w:sz="4" w:space="0" w:color="auto"/>
            </w:tcBorders>
            <w:shd w:val="clear" w:color="auto" w:fill="auto"/>
            <w:noWrap/>
            <w:vAlign w:val="center"/>
            <w:hideMark/>
          </w:tcPr>
          <w:p w14:paraId="064869A2" w14:textId="75D389FE" w:rsidR="00AD74A1" w:rsidRPr="004B465C" w:rsidRDefault="00AD74A1" w:rsidP="004B465C">
            <w:pPr>
              <w:jc w:val="right"/>
              <w:rPr>
                <w:rFonts w:asciiTheme="minorHAnsi" w:eastAsia="华文细黑" w:hAnsiTheme="minorHAnsi" w:cs="宋体"/>
                <w:b/>
                <w:bCs/>
                <w:color w:val="000000"/>
                <w:sz w:val="20"/>
                <w:szCs w:val="20"/>
              </w:rPr>
            </w:pPr>
            <w:r w:rsidRPr="004B465C">
              <w:rPr>
                <w:rFonts w:asciiTheme="minorHAnsi" w:eastAsia="华文细黑" w:hAnsiTheme="minorHAnsi" w:cs="宋体"/>
                <w:b/>
                <w:bCs/>
                <w:color w:val="000000"/>
                <w:sz w:val="20"/>
                <w:szCs w:val="20"/>
              </w:rPr>
              <w:t>23,019.52</w:t>
            </w:r>
          </w:p>
        </w:tc>
      </w:tr>
      <w:tr w:rsidR="00B90F8D" w:rsidRPr="00AD74A1" w14:paraId="4C45E058" w14:textId="77777777" w:rsidTr="004B465C">
        <w:trPr>
          <w:trHeight w:val="305"/>
          <w:jc w:val="center"/>
        </w:trPr>
        <w:tc>
          <w:tcPr>
            <w:tcW w:w="684" w:type="pct"/>
            <w:tcBorders>
              <w:top w:val="nil"/>
              <w:left w:val="single" w:sz="4" w:space="0" w:color="auto"/>
              <w:bottom w:val="single" w:sz="4" w:space="0" w:color="auto"/>
              <w:right w:val="single" w:sz="4" w:space="0" w:color="auto"/>
            </w:tcBorders>
            <w:shd w:val="clear" w:color="auto" w:fill="auto"/>
            <w:noWrap/>
            <w:vAlign w:val="center"/>
            <w:hideMark/>
          </w:tcPr>
          <w:p w14:paraId="2F00F6D4" w14:textId="77777777" w:rsidR="00AD74A1" w:rsidRPr="004B465C" w:rsidRDefault="00AD74A1" w:rsidP="004B465C">
            <w:pPr>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本期还款</w:t>
            </w:r>
          </w:p>
        </w:tc>
        <w:tc>
          <w:tcPr>
            <w:tcW w:w="480" w:type="pct"/>
            <w:tcBorders>
              <w:top w:val="nil"/>
              <w:left w:val="nil"/>
              <w:bottom w:val="single" w:sz="4" w:space="0" w:color="auto"/>
              <w:right w:val="single" w:sz="4" w:space="0" w:color="auto"/>
            </w:tcBorders>
            <w:shd w:val="clear" w:color="auto" w:fill="auto"/>
            <w:noWrap/>
            <w:vAlign w:val="center"/>
            <w:hideMark/>
          </w:tcPr>
          <w:p w14:paraId="5309EFAB" w14:textId="752553A3"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10,839.41</w:t>
            </w:r>
          </w:p>
        </w:tc>
        <w:tc>
          <w:tcPr>
            <w:tcW w:w="480" w:type="pct"/>
            <w:tcBorders>
              <w:top w:val="nil"/>
              <w:left w:val="nil"/>
              <w:bottom w:val="single" w:sz="4" w:space="0" w:color="auto"/>
              <w:right w:val="single" w:sz="4" w:space="0" w:color="auto"/>
            </w:tcBorders>
            <w:shd w:val="clear" w:color="auto" w:fill="auto"/>
            <w:noWrap/>
            <w:vAlign w:val="center"/>
            <w:hideMark/>
          </w:tcPr>
          <w:p w14:paraId="3F3C45FE" w14:textId="790E9A58"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9,985.47</w:t>
            </w:r>
          </w:p>
        </w:tc>
        <w:tc>
          <w:tcPr>
            <w:tcW w:w="480" w:type="pct"/>
            <w:tcBorders>
              <w:top w:val="nil"/>
              <w:left w:val="nil"/>
              <w:bottom w:val="single" w:sz="4" w:space="0" w:color="auto"/>
              <w:right w:val="single" w:sz="4" w:space="0" w:color="auto"/>
            </w:tcBorders>
            <w:shd w:val="clear" w:color="auto" w:fill="auto"/>
            <w:noWrap/>
            <w:vAlign w:val="center"/>
            <w:hideMark/>
          </w:tcPr>
          <w:p w14:paraId="0655F712" w14:textId="115B5E40"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2,037.55</w:t>
            </w:r>
          </w:p>
        </w:tc>
        <w:tc>
          <w:tcPr>
            <w:tcW w:w="480" w:type="pct"/>
            <w:tcBorders>
              <w:top w:val="nil"/>
              <w:left w:val="nil"/>
              <w:bottom w:val="single" w:sz="4" w:space="0" w:color="auto"/>
              <w:right w:val="single" w:sz="4" w:space="0" w:color="auto"/>
            </w:tcBorders>
            <w:shd w:val="clear" w:color="auto" w:fill="auto"/>
            <w:noWrap/>
            <w:vAlign w:val="center"/>
            <w:hideMark/>
          </w:tcPr>
          <w:p w14:paraId="2AF42031" w14:textId="76D692F5"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1,014.65</w:t>
            </w:r>
          </w:p>
        </w:tc>
        <w:tc>
          <w:tcPr>
            <w:tcW w:w="480" w:type="pct"/>
            <w:tcBorders>
              <w:top w:val="nil"/>
              <w:left w:val="nil"/>
              <w:bottom w:val="single" w:sz="4" w:space="0" w:color="auto"/>
              <w:right w:val="single" w:sz="4" w:space="0" w:color="auto"/>
            </w:tcBorders>
            <w:shd w:val="clear" w:color="auto" w:fill="auto"/>
            <w:noWrap/>
            <w:vAlign w:val="center"/>
            <w:hideMark/>
          </w:tcPr>
          <w:p w14:paraId="7283C98B" w14:textId="01E1B367"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1,014.65</w:t>
            </w:r>
          </w:p>
        </w:tc>
        <w:tc>
          <w:tcPr>
            <w:tcW w:w="480" w:type="pct"/>
            <w:tcBorders>
              <w:top w:val="nil"/>
              <w:left w:val="nil"/>
              <w:bottom w:val="single" w:sz="4" w:space="0" w:color="auto"/>
              <w:right w:val="single" w:sz="4" w:space="0" w:color="auto"/>
            </w:tcBorders>
            <w:shd w:val="clear" w:color="auto" w:fill="auto"/>
            <w:noWrap/>
            <w:vAlign w:val="center"/>
            <w:hideMark/>
          </w:tcPr>
          <w:p w14:paraId="44D7E038" w14:textId="4B70D51D"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32,014.65</w:t>
            </w:r>
          </w:p>
        </w:tc>
        <w:tc>
          <w:tcPr>
            <w:tcW w:w="480" w:type="pct"/>
            <w:tcBorders>
              <w:top w:val="nil"/>
              <w:left w:val="nil"/>
              <w:bottom w:val="single" w:sz="4" w:space="0" w:color="auto"/>
              <w:right w:val="single" w:sz="4" w:space="0" w:color="auto"/>
            </w:tcBorders>
            <w:shd w:val="clear" w:color="auto" w:fill="auto"/>
            <w:noWrap/>
            <w:vAlign w:val="center"/>
            <w:hideMark/>
          </w:tcPr>
          <w:p w14:paraId="28C18E99" w14:textId="71AFDAC5"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555.48</w:t>
            </w:r>
          </w:p>
        </w:tc>
        <w:tc>
          <w:tcPr>
            <w:tcW w:w="480" w:type="pct"/>
            <w:tcBorders>
              <w:top w:val="nil"/>
              <w:left w:val="nil"/>
              <w:bottom w:val="single" w:sz="4" w:space="0" w:color="auto"/>
              <w:right w:val="single" w:sz="4" w:space="0" w:color="auto"/>
            </w:tcBorders>
            <w:shd w:val="clear" w:color="auto" w:fill="auto"/>
            <w:noWrap/>
            <w:vAlign w:val="center"/>
            <w:hideMark/>
          </w:tcPr>
          <w:p w14:paraId="24885DA6" w14:textId="0298FDC5"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2,048.00</w:t>
            </w:r>
          </w:p>
        </w:tc>
        <w:tc>
          <w:tcPr>
            <w:tcW w:w="480" w:type="pct"/>
            <w:tcBorders>
              <w:top w:val="nil"/>
              <w:left w:val="nil"/>
              <w:bottom w:val="single" w:sz="4" w:space="0" w:color="auto"/>
              <w:right w:val="single" w:sz="4" w:space="0" w:color="auto"/>
            </w:tcBorders>
            <w:shd w:val="clear" w:color="auto" w:fill="auto"/>
            <w:noWrap/>
            <w:vAlign w:val="center"/>
            <w:hideMark/>
          </w:tcPr>
          <w:p w14:paraId="1E7D6985" w14:textId="7F46F734" w:rsidR="00AD74A1" w:rsidRPr="004B465C" w:rsidRDefault="00AD74A1" w:rsidP="004B465C">
            <w:pPr>
              <w:jc w:val="right"/>
              <w:rPr>
                <w:rFonts w:asciiTheme="minorHAnsi" w:eastAsia="华文细黑" w:hAnsiTheme="minorHAnsi" w:cs="宋体"/>
                <w:b/>
                <w:bCs/>
                <w:color w:val="000000"/>
                <w:sz w:val="20"/>
                <w:szCs w:val="20"/>
              </w:rPr>
            </w:pPr>
            <w:r w:rsidRPr="004B465C">
              <w:rPr>
                <w:rFonts w:asciiTheme="minorHAnsi" w:eastAsia="华文细黑" w:hAnsiTheme="minorHAnsi" w:cs="宋体"/>
                <w:b/>
                <w:bCs/>
                <w:color w:val="000000"/>
                <w:sz w:val="20"/>
                <w:szCs w:val="20"/>
              </w:rPr>
              <w:t>91,559.52</w:t>
            </w:r>
          </w:p>
        </w:tc>
      </w:tr>
      <w:tr w:rsidR="00B90F8D" w:rsidRPr="00AD74A1" w14:paraId="253060D4" w14:textId="77777777" w:rsidTr="004B465C">
        <w:trPr>
          <w:trHeight w:val="305"/>
          <w:jc w:val="center"/>
        </w:trPr>
        <w:tc>
          <w:tcPr>
            <w:tcW w:w="684" w:type="pct"/>
            <w:tcBorders>
              <w:top w:val="nil"/>
              <w:left w:val="single" w:sz="4" w:space="0" w:color="auto"/>
              <w:bottom w:val="single" w:sz="4" w:space="0" w:color="auto"/>
              <w:right w:val="single" w:sz="4" w:space="0" w:color="auto"/>
            </w:tcBorders>
            <w:shd w:val="clear" w:color="auto" w:fill="auto"/>
            <w:noWrap/>
            <w:vAlign w:val="center"/>
            <w:hideMark/>
          </w:tcPr>
          <w:p w14:paraId="2FBC5F52" w14:textId="77777777" w:rsidR="00AD74A1" w:rsidRPr="004B465C" w:rsidRDefault="00AD74A1" w:rsidP="004B465C">
            <w:pPr>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其中：还本</w:t>
            </w:r>
          </w:p>
        </w:tc>
        <w:tc>
          <w:tcPr>
            <w:tcW w:w="480" w:type="pct"/>
            <w:tcBorders>
              <w:top w:val="nil"/>
              <w:left w:val="nil"/>
              <w:bottom w:val="single" w:sz="4" w:space="0" w:color="auto"/>
              <w:right w:val="single" w:sz="4" w:space="0" w:color="auto"/>
            </w:tcBorders>
            <w:shd w:val="clear" w:color="auto" w:fill="auto"/>
            <w:noWrap/>
            <w:vAlign w:val="center"/>
            <w:hideMark/>
          </w:tcPr>
          <w:p w14:paraId="68A18DF9" w14:textId="241DD51B"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9,400.00</w:t>
            </w:r>
          </w:p>
        </w:tc>
        <w:tc>
          <w:tcPr>
            <w:tcW w:w="480" w:type="pct"/>
            <w:tcBorders>
              <w:top w:val="nil"/>
              <w:left w:val="nil"/>
              <w:bottom w:val="single" w:sz="4" w:space="0" w:color="auto"/>
              <w:right w:val="single" w:sz="4" w:space="0" w:color="auto"/>
            </w:tcBorders>
            <w:shd w:val="clear" w:color="auto" w:fill="auto"/>
            <w:noWrap/>
            <w:vAlign w:val="center"/>
            <w:hideMark/>
          </w:tcPr>
          <w:p w14:paraId="18D08AB6" w14:textId="3B5F293B"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8,740.00</w:t>
            </w:r>
          </w:p>
        </w:tc>
        <w:tc>
          <w:tcPr>
            <w:tcW w:w="480" w:type="pct"/>
            <w:tcBorders>
              <w:top w:val="nil"/>
              <w:left w:val="nil"/>
              <w:bottom w:val="single" w:sz="4" w:space="0" w:color="auto"/>
              <w:right w:val="single" w:sz="4" w:space="0" w:color="auto"/>
            </w:tcBorders>
            <w:shd w:val="clear" w:color="auto" w:fill="auto"/>
            <w:noWrap/>
            <w:vAlign w:val="center"/>
            <w:hideMark/>
          </w:tcPr>
          <w:p w14:paraId="13662842" w14:textId="21B35C29"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1,000.00</w:t>
            </w:r>
          </w:p>
        </w:tc>
        <w:tc>
          <w:tcPr>
            <w:tcW w:w="480" w:type="pct"/>
            <w:tcBorders>
              <w:top w:val="nil"/>
              <w:left w:val="nil"/>
              <w:bottom w:val="single" w:sz="4" w:space="0" w:color="auto"/>
              <w:right w:val="single" w:sz="4" w:space="0" w:color="auto"/>
            </w:tcBorders>
            <w:shd w:val="clear" w:color="auto" w:fill="auto"/>
            <w:noWrap/>
            <w:vAlign w:val="center"/>
            <w:hideMark/>
          </w:tcPr>
          <w:p w14:paraId="51233209" w14:textId="4706E588"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80" w:type="pct"/>
            <w:tcBorders>
              <w:top w:val="nil"/>
              <w:left w:val="nil"/>
              <w:bottom w:val="single" w:sz="4" w:space="0" w:color="auto"/>
              <w:right w:val="single" w:sz="4" w:space="0" w:color="auto"/>
            </w:tcBorders>
            <w:shd w:val="clear" w:color="auto" w:fill="auto"/>
            <w:noWrap/>
            <w:vAlign w:val="center"/>
            <w:hideMark/>
          </w:tcPr>
          <w:p w14:paraId="4E4356BD" w14:textId="1926986D"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80" w:type="pct"/>
            <w:tcBorders>
              <w:top w:val="nil"/>
              <w:left w:val="nil"/>
              <w:bottom w:val="single" w:sz="4" w:space="0" w:color="auto"/>
              <w:right w:val="single" w:sz="4" w:space="0" w:color="auto"/>
            </w:tcBorders>
            <w:shd w:val="clear" w:color="auto" w:fill="auto"/>
            <w:noWrap/>
            <w:vAlign w:val="center"/>
            <w:hideMark/>
          </w:tcPr>
          <w:p w14:paraId="086377D7" w14:textId="6C34A804"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31,000.00</w:t>
            </w:r>
          </w:p>
        </w:tc>
        <w:tc>
          <w:tcPr>
            <w:tcW w:w="480" w:type="pct"/>
            <w:tcBorders>
              <w:top w:val="nil"/>
              <w:left w:val="nil"/>
              <w:bottom w:val="single" w:sz="4" w:space="0" w:color="auto"/>
              <w:right w:val="single" w:sz="4" w:space="0" w:color="auto"/>
            </w:tcBorders>
            <w:shd w:val="clear" w:color="auto" w:fill="auto"/>
            <w:noWrap/>
            <w:vAlign w:val="center"/>
            <w:hideMark/>
          </w:tcPr>
          <w:p w14:paraId="6AF92B26" w14:textId="1FEA8A44"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500.00</w:t>
            </w:r>
          </w:p>
        </w:tc>
        <w:tc>
          <w:tcPr>
            <w:tcW w:w="480" w:type="pct"/>
            <w:tcBorders>
              <w:top w:val="nil"/>
              <w:left w:val="nil"/>
              <w:bottom w:val="single" w:sz="4" w:space="0" w:color="auto"/>
              <w:right w:val="single" w:sz="4" w:space="0" w:color="auto"/>
            </w:tcBorders>
            <w:shd w:val="clear" w:color="auto" w:fill="auto"/>
            <w:noWrap/>
            <w:vAlign w:val="center"/>
            <w:hideMark/>
          </w:tcPr>
          <w:p w14:paraId="73F94BE9" w14:textId="066CF711"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2,000.00</w:t>
            </w:r>
          </w:p>
        </w:tc>
        <w:tc>
          <w:tcPr>
            <w:tcW w:w="480" w:type="pct"/>
            <w:tcBorders>
              <w:top w:val="nil"/>
              <w:left w:val="nil"/>
              <w:bottom w:val="single" w:sz="4" w:space="0" w:color="auto"/>
              <w:right w:val="single" w:sz="4" w:space="0" w:color="auto"/>
            </w:tcBorders>
            <w:shd w:val="clear" w:color="auto" w:fill="auto"/>
            <w:noWrap/>
            <w:vAlign w:val="center"/>
            <w:hideMark/>
          </w:tcPr>
          <w:p w14:paraId="3DE21445" w14:textId="79828F61" w:rsidR="00AD74A1" w:rsidRPr="004B465C" w:rsidRDefault="00AD74A1" w:rsidP="004B465C">
            <w:pPr>
              <w:jc w:val="right"/>
              <w:rPr>
                <w:rFonts w:asciiTheme="minorHAnsi" w:eastAsia="华文细黑" w:hAnsiTheme="minorHAnsi" w:cs="宋体"/>
                <w:b/>
                <w:bCs/>
                <w:color w:val="000000"/>
                <w:sz w:val="20"/>
                <w:szCs w:val="20"/>
              </w:rPr>
            </w:pPr>
            <w:r w:rsidRPr="004B465C">
              <w:rPr>
                <w:rFonts w:asciiTheme="minorHAnsi" w:eastAsia="华文细黑" w:hAnsiTheme="minorHAnsi" w:cs="宋体"/>
                <w:b/>
                <w:bCs/>
                <w:color w:val="000000"/>
                <w:sz w:val="20"/>
                <w:szCs w:val="20"/>
              </w:rPr>
              <w:t>68,540.00</w:t>
            </w:r>
          </w:p>
        </w:tc>
      </w:tr>
      <w:tr w:rsidR="00B90F8D" w:rsidRPr="00AD74A1" w14:paraId="7C23776C" w14:textId="77777777" w:rsidTr="004B465C">
        <w:trPr>
          <w:trHeight w:val="305"/>
          <w:jc w:val="center"/>
        </w:trPr>
        <w:tc>
          <w:tcPr>
            <w:tcW w:w="684" w:type="pct"/>
            <w:tcBorders>
              <w:top w:val="nil"/>
              <w:left w:val="single" w:sz="4" w:space="0" w:color="auto"/>
              <w:bottom w:val="single" w:sz="4" w:space="0" w:color="auto"/>
              <w:right w:val="single" w:sz="4" w:space="0" w:color="auto"/>
            </w:tcBorders>
            <w:shd w:val="clear" w:color="auto" w:fill="auto"/>
            <w:noWrap/>
            <w:vAlign w:val="center"/>
            <w:hideMark/>
          </w:tcPr>
          <w:p w14:paraId="4BFF5C9D" w14:textId="77777777" w:rsidR="00AD74A1" w:rsidRPr="004B465C" w:rsidRDefault="00AD74A1" w:rsidP="004B465C">
            <w:pPr>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付息</w:t>
            </w:r>
          </w:p>
        </w:tc>
        <w:tc>
          <w:tcPr>
            <w:tcW w:w="480" w:type="pct"/>
            <w:tcBorders>
              <w:top w:val="nil"/>
              <w:left w:val="nil"/>
              <w:bottom w:val="single" w:sz="4" w:space="0" w:color="auto"/>
              <w:right w:val="single" w:sz="4" w:space="0" w:color="auto"/>
            </w:tcBorders>
            <w:shd w:val="clear" w:color="auto" w:fill="auto"/>
            <w:noWrap/>
            <w:vAlign w:val="center"/>
            <w:hideMark/>
          </w:tcPr>
          <w:p w14:paraId="1E90C456" w14:textId="078F611C"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1,439.41</w:t>
            </w:r>
          </w:p>
        </w:tc>
        <w:tc>
          <w:tcPr>
            <w:tcW w:w="480" w:type="pct"/>
            <w:tcBorders>
              <w:top w:val="nil"/>
              <w:left w:val="nil"/>
              <w:bottom w:val="single" w:sz="4" w:space="0" w:color="auto"/>
              <w:right w:val="single" w:sz="4" w:space="0" w:color="auto"/>
            </w:tcBorders>
            <w:shd w:val="clear" w:color="auto" w:fill="auto"/>
            <w:noWrap/>
            <w:vAlign w:val="center"/>
            <w:hideMark/>
          </w:tcPr>
          <w:p w14:paraId="32C8CDCB" w14:textId="1907480B"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1,245.47</w:t>
            </w:r>
          </w:p>
        </w:tc>
        <w:tc>
          <w:tcPr>
            <w:tcW w:w="480" w:type="pct"/>
            <w:tcBorders>
              <w:top w:val="nil"/>
              <w:left w:val="nil"/>
              <w:bottom w:val="single" w:sz="4" w:space="0" w:color="auto"/>
              <w:right w:val="single" w:sz="4" w:space="0" w:color="auto"/>
            </w:tcBorders>
            <w:shd w:val="clear" w:color="auto" w:fill="auto"/>
            <w:noWrap/>
            <w:vAlign w:val="center"/>
            <w:hideMark/>
          </w:tcPr>
          <w:p w14:paraId="5C8BA136" w14:textId="51229CD7"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1,037.55</w:t>
            </w:r>
          </w:p>
        </w:tc>
        <w:tc>
          <w:tcPr>
            <w:tcW w:w="480" w:type="pct"/>
            <w:tcBorders>
              <w:top w:val="nil"/>
              <w:left w:val="nil"/>
              <w:bottom w:val="single" w:sz="4" w:space="0" w:color="auto"/>
              <w:right w:val="single" w:sz="4" w:space="0" w:color="auto"/>
            </w:tcBorders>
            <w:shd w:val="clear" w:color="auto" w:fill="auto"/>
            <w:noWrap/>
            <w:vAlign w:val="center"/>
            <w:hideMark/>
          </w:tcPr>
          <w:p w14:paraId="73B484DB" w14:textId="539C39FC"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1,014.65</w:t>
            </w:r>
          </w:p>
        </w:tc>
        <w:tc>
          <w:tcPr>
            <w:tcW w:w="480" w:type="pct"/>
            <w:tcBorders>
              <w:top w:val="nil"/>
              <w:left w:val="nil"/>
              <w:bottom w:val="single" w:sz="4" w:space="0" w:color="auto"/>
              <w:right w:val="single" w:sz="4" w:space="0" w:color="auto"/>
            </w:tcBorders>
            <w:shd w:val="clear" w:color="auto" w:fill="auto"/>
            <w:noWrap/>
            <w:vAlign w:val="center"/>
            <w:hideMark/>
          </w:tcPr>
          <w:p w14:paraId="6F59C981" w14:textId="05EBAAB7"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1,014.65</w:t>
            </w:r>
          </w:p>
        </w:tc>
        <w:tc>
          <w:tcPr>
            <w:tcW w:w="480" w:type="pct"/>
            <w:tcBorders>
              <w:top w:val="nil"/>
              <w:left w:val="nil"/>
              <w:bottom w:val="single" w:sz="4" w:space="0" w:color="auto"/>
              <w:right w:val="single" w:sz="4" w:space="0" w:color="auto"/>
            </w:tcBorders>
            <w:shd w:val="clear" w:color="auto" w:fill="auto"/>
            <w:noWrap/>
            <w:vAlign w:val="center"/>
            <w:hideMark/>
          </w:tcPr>
          <w:p w14:paraId="6294551E" w14:textId="63EC7C91"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1,014.65</w:t>
            </w:r>
          </w:p>
        </w:tc>
        <w:tc>
          <w:tcPr>
            <w:tcW w:w="480" w:type="pct"/>
            <w:tcBorders>
              <w:top w:val="nil"/>
              <w:left w:val="nil"/>
              <w:bottom w:val="single" w:sz="4" w:space="0" w:color="auto"/>
              <w:right w:val="single" w:sz="4" w:space="0" w:color="auto"/>
            </w:tcBorders>
            <w:shd w:val="clear" w:color="auto" w:fill="auto"/>
            <w:noWrap/>
            <w:vAlign w:val="center"/>
            <w:hideMark/>
          </w:tcPr>
          <w:p w14:paraId="6F925875" w14:textId="28E4997F"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55.48</w:t>
            </w:r>
          </w:p>
        </w:tc>
        <w:tc>
          <w:tcPr>
            <w:tcW w:w="480" w:type="pct"/>
            <w:tcBorders>
              <w:top w:val="nil"/>
              <w:left w:val="nil"/>
              <w:bottom w:val="single" w:sz="4" w:space="0" w:color="auto"/>
              <w:right w:val="single" w:sz="4" w:space="0" w:color="auto"/>
            </w:tcBorders>
            <w:shd w:val="clear" w:color="auto" w:fill="auto"/>
            <w:noWrap/>
            <w:vAlign w:val="center"/>
            <w:hideMark/>
          </w:tcPr>
          <w:p w14:paraId="5C58644F" w14:textId="37EEE563"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48.00</w:t>
            </w:r>
          </w:p>
        </w:tc>
        <w:tc>
          <w:tcPr>
            <w:tcW w:w="480" w:type="pct"/>
            <w:tcBorders>
              <w:top w:val="nil"/>
              <w:left w:val="nil"/>
              <w:bottom w:val="single" w:sz="4" w:space="0" w:color="auto"/>
              <w:right w:val="single" w:sz="4" w:space="0" w:color="auto"/>
            </w:tcBorders>
            <w:shd w:val="clear" w:color="auto" w:fill="auto"/>
            <w:noWrap/>
            <w:vAlign w:val="center"/>
            <w:hideMark/>
          </w:tcPr>
          <w:p w14:paraId="460D0271" w14:textId="30D7BE8D" w:rsidR="00AD74A1" w:rsidRPr="004B465C" w:rsidRDefault="00AD74A1" w:rsidP="004B465C">
            <w:pPr>
              <w:jc w:val="right"/>
              <w:rPr>
                <w:rFonts w:asciiTheme="minorHAnsi" w:eastAsia="华文细黑" w:hAnsiTheme="minorHAnsi" w:cs="宋体"/>
                <w:b/>
                <w:bCs/>
                <w:color w:val="000000"/>
                <w:sz w:val="20"/>
                <w:szCs w:val="20"/>
              </w:rPr>
            </w:pPr>
            <w:r w:rsidRPr="004B465C">
              <w:rPr>
                <w:rFonts w:asciiTheme="minorHAnsi" w:eastAsia="华文细黑" w:hAnsiTheme="minorHAnsi" w:cs="宋体"/>
                <w:b/>
                <w:bCs/>
                <w:color w:val="000000"/>
                <w:sz w:val="20"/>
                <w:szCs w:val="20"/>
              </w:rPr>
              <w:t>23,019.52</w:t>
            </w:r>
          </w:p>
        </w:tc>
      </w:tr>
      <w:tr w:rsidR="00B90F8D" w:rsidRPr="00AD74A1" w14:paraId="717A4308" w14:textId="77777777" w:rsidTr="004B465C">
        <w:trPr>
          <w:trHeight w:val="305"/>
          <w:jc w:val="center"/>
        </w:trPr>
        <w:tc>
          <w:tcPr>
            <w:tcW w:w="684" w:type="pct"/>
            <w:tcBorders>
              <w:top w:val="nil"/>
              <w:left w:val="single" w:sz="4" w:space="0" w:color="auto"/>
              <w:bottom w:val="single" w:sz="4" w:space="0" w:color="auto"/>
              <w:right w:val="single" w:sz="4" w:space="0" w:color="auto"/>
            </w:tcBorders>
            <w:shd w:val="clear" w:color="auto" w:fill="auto"/>
            <w:noWrap/>
            <w:vAlign w:val="center"/>
            <w:hideMark/>
          </w:tcPr>
          <w:p w14:paraId="77A96A49" w14:textId="77777777" w:rsidR="00AD74A1" w:rsidRPr="004B465C" w:rsidRDefault="00AD74A1" w:rsidP="004B465C">
            <w:pPr>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期末专项债券余额</w:t>
            </w:r>
          </w:p>
        </w:tc>
        <w:tc>
          <w:tcPr>
            <w:tcW w:w="480" w:type="pct"/>
            <w:tcBorders>
              <w:top w:val="nil"/>
              <w:left w:val="nil"/>
              <w:bottom w:val="single" w:sz="4" w:space="0" w:color="auto"/>
              <w:right w:val="single" w:sz="4" w:space="0" w:color="auto"/>
            </w:tcBorders>
            <w:shd w:val="clear" w:color="auto" w:fill="auto"/>
            <w:noWrap/>
            <w:vAlign w:val="center"/>
            <w:hideMark/>
          </w:tcPr>
          <w:p w14:paraId="395F5CB2" w14:textId="5FE70770"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43,240.00</w:t>
            </w:r>
          </w:p>
        </w:tc>
        <w:tc>
          <w:tcPr>
            <w:tcW w:w="480" w:type="pct"/>
            <w:tcBorders>
              <w:top w:val="nil"/>
              <w:left w:val="nil"/>
              <w:bottom w:val="single" w:sz="4" w:space="0" w:color="auto"/>
              <w:right w:val="single" w:sz="4" w:space="0" w:color="auto"/>
            </w:tcBorders>
            <w:shd w:val="clear" w:color="auto" w:fill="auto"/>
            <w:noWrap/>
            <w:vAlign w:val="center"/>
            <w:hideMark/>
          </w:tcPr>
          <w:p w14:paraId="1A73DAFA" w14:textId="724C5105"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34,500.00</w:t>
            </w:r>
          </w:p>
        </w:tc>
        <w:tc>
          <w:tcPr>
            <w:tcW w:w="480" w:type="pct"/>
            <w:tcBorders>
              <w:top w:val="nil"/>
              <w:left w:val="nil"/>
              <w:bottom w:val="single" w:sz="4" w:space="0" w:color="auto"/>
              <w:right w:val="single" w:sz="4" w:space="0" w:color="auto"/>
            </w:tcBorders>
            <w:shd w:val="clear" w:color="auto" w:fill="auto"/>
            <w:noWrap/>
            <w:vAlign w:val="center"/>
            <w:hideMark/>
          </w:tcPr>
          <w:p w14:paraId="69A47924" w14:textId="7D1FB7C0"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33,500.00</w:t>
            </w:r>
          </w:p>
        </w:tc>
        <w:tc>
          <w:tcPr>
            <w:tcW w:w="480" w:type="pct"/>
            <w:tcBorders>
              <w:top w:val="nil"/>
              <w:left w:val="nil"/>
              <w:bottom w:val="single" w:sz="4" w:space="0" w:color="auto"/>
              <w:right w:val="single" w:sz="4" w:space="0" w:color="auto"/>
            </w:tcBorders>
            <w:shd w:val="clear" w:color="auto" w:fill="auto"/>
            <w:noWrap/>
            <w:vAlign w:val="center"/>
            <w:hideMark/>
          </w:tcPr>
          <w:p w14:paraId="65C84F7D" w14:textId="5E5B59DA"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33,500.00</w:t>
            </w:r>
          </w:p>
        </w:tc>
        <w:tc>
          <w:tcPr>
            <w:tcW w:w="480" w:type="pct"/>
            <w:tcBorders>
              <w:top w:val="nil"/>
              <w:left w:val="nil"/>
              <w:bottom w:val="single" w:sz="4" w:space="0" w:color="auto"/>
              <w:right w:val="single" w:sz="4" w:space="0" w:color="auto"/>
            </w:tcBorders>
            <w:shd w:val="clear" w:color="auto" w:fill="auto"/>
            <w:noWrap/>
            <w:vAlign w:val="center"/>
            <w:hideMark/>
          </w:tcPr>
          <w:p w14:paraId="509E6073" w14:textId="2A3937A4"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33,500.00</w:t>
            </w:r>
          </w:p>
        </w:tc>
        <w:tc>
          <w:tcPr>
            <w:tcW w:w="480" w:type="pct"/>
            <w:tcBorders>
              <w:top w:val="nil"/>
              <w:left w:val="nil"/>
              <w:bottom w:val="single" w:sz="4" w:space="0" w:color="auto"/>
              <w:right w:val="single" w:sz="4" w:space="0" w:color="auto"/>
            </w:tcBorders>
            <w:shd w:val="clear" w:color="auto" w:fill="auto"/>
            <w:noWrap/>
            <w:vAlign w:val="center"/>
            <w:hideMark/>
          </w:tcPr>
          <w:p w14:paraId="66E70726" w14:textId="71093DF5"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2,500.00</w:t>
            </w:r>
          </w:p>
        </w:tc>
        <w:tc>
          <w:tcPr>
            <w:tcW w:w="480" w:type="pct"/>
            <w:tcBorders>
              <w:top w:val="nil"/>
              <w:left w:val="nil"/>
              <w:bottom w:val="single" w:sz="4" w:space="0" w:color="auto"/>
              <w:right w:val="single" w:sz="4" w:space="0" w:color="auto"/>
            </w:tcBorders>
            <w:shd w:val="clear" w:color="auto" w:fill="auto"/>
            <w:noWrap/>
            <w:vAlign w:val="center"/>
            <w:hideMark/>
          </w:tcPr>
          <w:p w14:paraId="480A21CF" w14:textId="713F3284"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2,000.00</w:t>
            </w:r>
          </w:p>
        </w:tc>
        <w:tc>
          <w:tcPr>
            <w:tcW w:w="480" w:type="pct"/>
            <w:tcBorders>
              <w:top w:val="nil"/>
              <w:left w:val="nil"/>
              <w:bottom w:val="single" w:sz="4" w:space="0" w:color="auto"/>
              <w:right w:val="single" w:sz="4" w:space="0" w:color="auto"/>
            </w:tcBorders>
            <w:shd w:val="clear" w:color="auto" w:fill="auto"/>
            <w:noWrap/>
            <w:vAlign w:val="center"/>
            <w:hideMark/>
          </w:tcPr>
          <w:p w14:paraId="47BFD658" w14:textId="348CD658" w:rsidR="00AD74A1" w:rsidRPr="004B465C" w:rsidRDefault="00AD74A1" w:rsidP="00AD74A1">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80" w:type="pct"/>
            <w:tcBorders>
              <w:top w:val="nil"/>
              <w:left w:val="nil"/>
              <w:bottom w:val="single" w:sz="4" w:space="0" w:color="auto"/>
              <w:right w:val="single" w:sz="4" w:space="0" w:color="auto"/>
            </w:tcBorders>
            <w:shd w:val="clear" w:color="auto" w:fill="auto"/>
            <w:noWrap/>
            <w:vAlign w:val="center"/>
            <w:hideMark/>
          </w:tcPr>
          <w:p w14:paraId="258EC723" w14:textId="1A07C8A2" w:rsidR="00AD74A1" w:rsidRPr="004B465C" w:rsidRDefault="00AD74A1" w:rsidP="004B465C">
            <w:pPr>
              <w:jc w:val="right"/>
              <w:rPr>
                <w:rFonts w:asciiTheme="minorHAnsi" w:eastAsia="华文细黑" w:hAnsiTheme="minorHAnsi" w:cs="宋体"/>
                <w:b/>
                <w:bCs/>
                <w:color w:val="000000"/>
                <w:sz w:val="20"/>
                <w:szCs w:val="20"/>
              </w:rPr>
            </w:pPr>
          </w:p>
        </w:tc>
      </w:tr>
    </w:tbl>
    <w:p w14:paraId="3062564E" w14:textId="28A9867B" w:rsidR="00562C50" w:rsidRDefault="00562C50" w:rsidP="003C3C26">
      <w:pPr>
        <w:ind w:right="105"/>
        <w:jc w:val="right"/>
        <w:rPr>
          <w:rFonts w:ascii="Verdana" w:eastAsia="华文细黑" w:hAnsi="Verdana" w:cs="Calibri"/>
          <w:sz w:val="20"/>
          <w:szCs w:val="20"/>
        </w:rPr>
      </w:pPr>
    </w:p>
    <w:p w14:paraId="58A9468A" w14:textId="77777777" w:rsidR="00AD74A1" w:rsidRPr="007072FB" w:rsidRDefault="00AD74A1" w:rsidP="003C3C26">
      <w:pPr>
        <w:ind w:right="105"/>
        <w:jc w:val="right"/>
        <w:rPr>
          <w:rFonts w:ascii="Verdana" w:eastAsia="华文细黑" w:hAnsi="Verdana" w:cs="Calibri"/>
          <w:sz w:val="20"/>
          <w:szCs w:val="20"/>
        </w:rPr>
      </w:pPr>
    </w:p>
    <w:p w14:paraId="56C1943A" w14:textId="3DAB5FA8" w:rsidR="000D1B9A" w:rsidRPr="007072FB" w:rsidRDefault="000D1B9A">
      <w:pPr>
        <w:ind w:right="105"/>
        <w:jc w:val="right"/>
        <w:rPr>
          <w:rFonts w:ascii="Verdana" w:eastAsia="华文细黑" w:hAnsi="Verdana" w:cs="Calibri"/>
          <w:sz w:val="20"/>
          <w:szCs w:val="20"/>
        </w:rPr>
      </w:pPr>
    </w:p>
    <w:p w14:paraId="0519D707" w14:textId="77777777" w:rsidR="00A263CB" w:rsidRPr="007072FB" w:rsidRDefault="00A263CB">
      <w:pPr>
        <w:ind w:right="105"/>
        <w:jc w:val="right"/>
        <w:rPr>
          <w:rFonts w:ascii="Verdana" w:eastAsia="华文细黑" w:hAnsi="Verdana" w:cs="Calibri"/>
          <w:sz w:val="20"/>
          <w:szCs w:val="20"/>
        </w:rPr>
        <w:sectPr w:rsidR="00A263CB" w:rsidRPr="007072FB">
          <w:footerReference w:type="default" r:id="rId16"/>
          <w:pgSz w:w="15840" w:h="12240" w:orient="landscape"/>
          <w:pgMar w:top="1800" w:right="1276" w:bottom="1800" w:left="1276" w:header="708" w:footer="850" w:gutter="0"/>
          <w:cols w:space="708"/>
          <w:docGrid w:linePitch="360"/>
        </w:sectPr>
      </w:pPr>
    </w:p>
    <w:p w14:paraId="2043129B" w14:textId="5F2B7EBA" w:rsidR="00A263CB" w:rsidRPr="007072FB" w:rsidRDefault="00A263CB" w:rsidP="00A263CB">
      <w:pPr>
        <w:spacing w:after="160" w:line="259" w:lineRule="auto"/>
        <w:jc w:val="center"/>
        <w:rPr>
          <w:rFonts w:ascii="Verdana" w:eastAsia="华文细黑" w:hAnsi="Verdana" w:cs="Calibri"/>
          <w:b/>
        </w:rPr>
      </w:pPr>
      <w:r w:rsidRPr="007072FB">
        <w:rPr>
          <w:rFonts w:ascii="Verdana" w:eastAsia="华文细黑" w:hAnsi="Verdana" w:cs="Calibri"/>
          <w:b/>
        </w:rPr>
        <w:lastRenderedPageBreak/>
        <w:t>表</w:t>
      </w:r>
      <w:r w:rsidR="00913C47">
        <w:rPr>
          <w:rFonts w:ascii="Verdana" w:eastAsia="华文细黑" w:hAnsi="Verdana" w:cs="Calibri" w:hint="eastAsia"/>
          <w:b/>
        </w:rPr>
        <w:t>4</w:t>
      </w:r>
      <w:r w:rsidRPr="007072FB">
        <w:rPr>
          <w:rFonts w:ascii="Verdana" w:eastAsia="华文细黑" w:hAnsi="Verdana" w:cs="Calibri"/>
          <w:b/>
        </w:rPr>
        <w:t>-2</w:t>
      </w:r>
      <w:r w:rsidRPr="007072FB">
        <w:rPr>
          <w:rFonts w:ascii="Verdana" w:eastAsia="华文细黑" w:hAnsi="Verdana" w:cs="Calibri"/>
          <w:b/>
        </w:rPr>
        <w:t>本期调增债券还本付息表</w:t>
      </w:r>
    </w:p>
    <w:p w14:paraId="18704647" w14:textId="77777777" w:rsidR="008C18EB" w:rsidRDefault="00A263CB">
      <w:pPr>
        <w:ind w:right="105"/>
        <w:jc w:val="right"/>
        <w:rPr>
          <w:rFonts w:ascii="Verdana" w:eastAsia="华文细黑" w:hAnsi="Verdana" w:cs="Calibri"/>
          <w:sz w:val="20"/>
          <w:szCs w:val="20"/>
        </w:rPr>
      </w:pPr>
      <w:r w:rsidRPr="007072FB">
        <w:rPr>
          <w:rFonts w:ascii="Verdana" w:eastAsia="华文细黑" w:hAnsi="Verdana" w:cs="Calibri"/>
          <w:sz w:val="20"/>
          <w:szCs w:val="20"/>
        </w:rPr>
        <w:t>单位：人民币万元</w:t>
      </w:r>
    </w:p>
    <w:tbl>
      <w:tblPr>
        <w:tblW w:w="5000" w:type="pct"/>
        <w:tblLook w:val="04A0" w:firstRow="1" w:lastRow="0" w:firstColumn="1" w:lastColumn="0" w:noHBand="0" w:noVBand="1"/>
      </w:tblPr>
      <w:tblGrid>
        <w:gridCol w:w="2110"/>
        <w:gridCol w:w="1241"/>
        <w:gridCol w:w="1241"/>
        <w:gridCol w:w="1241"/>
        <w:gridCol w:w="1241"/>
        <w:gridCol w:w="1241"/>
        <w:gridCol w:w="1241"/>
        <w:gridCol w:w="1241"/>
        <w:gridCol w:w="1241"/>
        <w:gridCol w:w="1240"/>
      </w:tblGrid>
      <w:tr w:rsidR="003575AC" w:rsidRPr="008C18EB" w14:paraId="05B46521" w14:textId="77777777" w:rsidTr="003575AC">
        <w:trPr>
          <w:trHeight w:val="312"/>
        </w:trPr>
        <w:tc>
          <w:tcPr>
            <w:tcW w:w="794" w:type="pct"/>
            <w:tcBorders>
              <w:top w:val="single" w:sz="4" w:space="0" w:color="auto"/>
              <w:left w:val="single" w:sz="4" w:space="0" w:color="auto"/>
              <w:bottom w:val="single" w:sz="4" w:space="0" w:color="auto"/>
              <w:right w:val="single" w:sz="4" w:space="0" w:color="auto"/>
            </w:tcBorders>
            <w:shd w:val="clear" w:color="000000" w:fill="0070C0"/>
            <w:noWrap/>
            <w:vAlign w:val="center"/>
            <w:hideMark/>
          </w:tcPr>
          <w:p w14:paraId="2644D528" w14:textId="77777777" w:rsidR="008C18EB" w:rsidRPr="004B465C" w:rsidRDefault="008C18EB" w:rsidP="008C18EB">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hint="eastAsia"/>
                <w:b/>
                <w:bCs/>
                <w:color w:val="FFFFFF"/>
                <w:sz w:val="20"/>
                <w:szCs w:val="20"/>
              </w:rPr>
              <w:t>年度</w:t>
            </w:r>
          </w:p>
        </w:tc>
        <w:tc>
          <w:tcPr>
            <w:tcW w:w="467" w:type="pct"/>
            <w:tcBorders>
              <w:top w:val="single" w:sz="4" w:space="0" w:color="auto"/>
              <w:left w:val="nil"/>
              <w:bottom w:val="single" w:sz="4" w:space="0" w:color="auto"/>
              <w:right w:val="single" w:sz="4" w:space="0" w:color="auto"/>
            </w:tcBorders>
            <w:shd w:val="clear" w:color="000000" w:fill="0070C0"/>
            <w:noWrap/>
            <w:vAlign w:val="center"/>
            <w:hideMark/>
          </w:tcPr>
          <w:p w14:paraId="39B21E52" w14:textId="77777777" w:rsidR="008C18EB" w:rsidRPr="004B465C" w:rsidRDefault="008C18EB" w:rsidP="008C18EB">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2024</w:t>
            </w:r>
          </w:p>
        </w:tc>
        <w:tc>
          <w:tcPr>
            <w:tcW w:w="467" w:type="pct"/>
            <w:tcBorders>
              <w:top w:val="single" w:sz="4" w:space="0" w:color="auto"/>
              <w:left w:val="nil"/>
              <w:bottom w:val="single" w:sz="4" w:space="0" w:color="auto"/>
              <w:right w:val="single" w:sz="4" w:space="0" w:color="auto"/>
            </w:tcBorders>
            <w:shd w:val="clear" w:color="000000" w:fill="0070C0"/>
            <w:noWrap/>
            <w:vAlign w:val="center"/>
            <w:hideMark/>
          </w:tcPr>
          <w:p w14:paraId="014211E0" w14:textId="77777777" w:rsidR="008C18EB" w:rsidRPr="004B465C" w:rsidRDefault="008C18EB" w:rsidP="008C18EB">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2025</w:t>
            </w:r>
          </w:p>
        </w:tc>
        <w:tc>
          <w:tcPr>
            <w:tcW w:w="467" w:type="pct"/>
            <w:tcBorders>
              <w:top w:val="single" w:sz="4" w:space="0" w:color="auto"/>
              <w:left w:val="nil"/>
              <w:bottom w:val="single" w:sz="4" w:space="0" w:color="auto"/>
              <w:right w:val="single" w:sz="4" w:space="0" w:color="auto"/>
            </w:tcBorders>
            <w:shd w:val="clear" w:color="000000" w:fill="0070C0"/>
            <w:noWrap/>
            <w:vAlign w:val="center"/>
            <w:hideMark/>
          </w:tcPr>
          <w:p w14:paraId="5EB468EF" w14:textId="77777777" w:rsidR="008C18EB" w:rsidRPr="004B465C" w:rsidRDefault="008C18EB" w:rsidP="008C18EB">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2026</w:t>
            </w:r>
          </w:p>
        </w:tc>
        <w:tc>
          <w:tcPr>
            <w:tcW w:w="467" w:type="pct"/>
            <w:tcBorders>
              <w:top w:val="single" w:sz="4" w:space="0" w:color="auto"/>
              <w:left w:val="nil"/>
              <w:bottom w:val="single" w:sz="4" w:space="0" w:color="auto"/>
              <w:right w:val="single" w:sz="4" w:space="0" w:color="auto"/>
            </w:tcBorders>
            <w:shd w:val="clear" w:color="000000" w:fill="0070C0"/>
            <w:noWrap/>
            <w:vAlign w:val="center"/>
            <w:hideMark/>
          </w:tcPr>
          <w:p w14:paraId="4A2A7942" w14:textId="77777777" w:rsidR="008C18EB" w:rsidRPr="004B465C" w:rsidRDefault="008C18EB" w:rsidP="008C18EB">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2027</w:t>
            </w:r>
          </w:p>
        </w:tc>
        <w:tc>
          <w:tcPr>
            <w:tcW w:w="467" w:type="pct"/>
            <w:tcBorders>
              <w:top w:val="single" w:sz="4" w:space="0" w:color="auto"/>
              <w:left w:val="nil"/>
              <w:bottom w:val="single" w:sz="4" w:space="0" w:color="auto"/>
              <w:right w:val="single" w:sz="4" w:space="0" w:color="auto"/>
            </w:tcBorders>
            <w:shd w:val="clear" w:color="000000" w:fill="0070C0"/>
            <w:noWrap/>
            <w:vAlign w:val="center"/>
            <w:hideMark/>
          </w:tcPr>
          <w:p w14:paraId="5A7AB583" w14:textId="77777777" w:rsidR="008C18EB" w:rsidRPr="004B465C" w:rsidRDefault="008C18EB" w:rsidP="008C18EB">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2028</w:t>
            </w:r>
          </w:p>
        </w:tc>
        <w:tc>
          <w:tcPr>
            <w:tcW w:w="467" w:type="pct"/>
            <w:tcBorders>
              <w:top w:val="single" w:sz="4" w:space="0" w:color="auto"/>
              <w:left w:val="nil"/>
              <w:bottom w:val="single" w:sz="4" w:space="0" w:color="auto"/>
              <w:right w:val="single" w:sz="4" w:space="0" w:color="auto"/>
            </w:tcBorders>
            <w:shd w:val="clear" w:color="000000" w:fill="0070C0"/>
            <w:noWrap/>
            <w:vAlign w:val="center"/>
            <w:hideMark/>
          </w:tcPr>
          <w:p w14:paraId="309248F1" w14:textId="77777777" w:rsidR="008C18EB" w:rsidRPr="004B465C" w:rsidRDefault="008C18EB" w:rsidP="008C18EB">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2029</w:t>
            </w:r>
          </w:p>
        </w:tc>
        <w:tc>
          <w:tcPr>
            <w:tcW w:w="467" w:type="pct"/>
            <w:tcBorders>
              <w:top w:val="single" w:sz="4" w:space="0" w:color="auto"/>
              <w:left w:val="nil"/>
              <w:bottom w:val="single" w:sz="4" w:space="0" w:color="auto"/>
              <w:right w:val="single" w:sz="4" w:space="0" w:color="auto"/>
            </w:tcBorders>
            <w:shd w:val="clear" w:color="000000" w:fill="0070C0"/>
            <w:noWrap/>
            <w:vAlign w:val="center"/>
            <w:hideMark/>
          </w:tcPr>
          <w:p w14:paraId="77052408" w14:textId="77777777" w:rsidR="008C18EB" w:rsidRPr="004B465C" w:rsidRDefault="008C18EB" w:rsidP="008C18EB">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2030</w:t>
            </w:r>
          </w:p>
        </w:tc>
        <w:tc>
          <w:tcPr>
            <w:tcW w:w="467" w:type="pct"/>
            <w:tcBorders>
              <w:top w:val="single" w:sz="4" w:space="0" w:color="auto"/>
              <w:left w:val="nil"/>
              <w:bottom w:val="single" w:sz="4" w:space="0" w:color="auto"/>
              <w:right w:val="single" w:sz="4" w:space="0" w:color="auto"/>
            </w:tcBorders>
            <w:shd w:val="clear" w:color="000000" w:fill="0070C0"/>
            <w:noWrap/>
            <w:vAlign w:val="center"/>
            <w:hideMark/>
          </w:tcPr>
          <w:p w14:paraId="1B4448FC" w14:textId="77777777" w:rsidR="008C18EB" w:rsidRPr="004B465C" w:rsidRDefault="008C18EB" w:rsidP="008C18EB">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2031</w:t>
            </w:r>
          </w:p>
        </w:tc>
        <w:tc>
          <w:tcPr>
            <w:tcW w:w="467" w:type="pct"/>
            <w:tcBorders>
              <w:top w:val="single" w:sz="4" w:space="0" w:color="auto"/>
              <w:left w:val="nil"/>
              <w:bottom w:val="single" w:sz="4" w:space="0" w:color="auto"/>
              <w:right w:val="single" w:sz="4" w:space="0" w:color="auto"/>
            </w:tcBorders>
            <w:shd w:val="clear" w:color="000000" w:fill="0070C0"/>
            <w:noWrap/>
            <w:vAlign w:val="center"/>
            <w:hideMark/>
          </w:tcPr>
          <w:p w14:paraId="25B0AB9D" w14:textId="77777777" w:rsidR="008C18EB" w:rsidRPr="004B465C" w:rsidRDefault="008C18EB" w:rsidP="008C18EB">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2032</w:t>
            </w:r>
          </w:p>
        </w:tc>
      </w:tr>
      <w:tr w:rsidR="008C18EB" w:rsidRPr="008C18EB" w14:paraId="18D82856" w14:textId="77777777" w:rsidTr="004B465C">
        <w:trPr>
          <w:trHeight w:val="312"/>
        </w:trPr>
        <w:tc>
          <w:tcPr>
            <w:tcW w:w="794" w:type="pct"/>
            <w:tcBorders>
              <w:top w:val="nil"/>
              <w:left w:val="single" w:sz="4" w:space="0" w:color="auto"/>
              <w:bottom w:val="single" w:sz="4" w:space="0" w:color="auto"/>
              <w:right w:val="single" w:sz="4" w:space="0" w:color="auto"/>
            </w:tcBorders>
            <w:shd w:val="clear" w:color="auto" w:fill="auto"/>
            <w:noWrap/>
            <w:vAlign w:val="center"/>
            <w:hideMark/>
          </w:tcPr>
          <w:p w14:paraId="74985437" w14:textId="77777777" w:rsidR="008C18EB" w:rsidRPr="004B465C" w:rsidRDefault="008C18EB" w:rsidP="008C18EB">
            <w:pPr>
              <w:jc w:val="both"/>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期初专项债券余额</w:t>
            </w:r>
          </w:p>
        </w:tc>
        <w:tc>
          <w:tcPr>
            <w:tcW w:w="467" w:type="pct"/>
            <w:tcBorders>
              <w:top w:val="nil"/>
              <w:left w:val="nil"/>
              <w:bottom w:val="single" w:sz="4" w:space="0" w:color="auto"/>
              <w:right w:val="single" w:sz="4" w:space="0" w:color="auto"/>
            </w:tcBorders>
            <w:shd w:val="clear" w:color="auto" w:fill="auto"/>
            <w:noWrap/>
            <w:vAlign w:val="center"/>
            <w:hideMark/>
          </w:tcPr>
          <w:p w14:paraId="12E3A8C9" w14:textId="1B2E2A6A"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67" w:type="pct"/>
            <w:tcBorders>
              <w:top w:val="nil"/>
              <w:left w:val="nil"/>
              <w:bottom w:val="single" w:sz="4" w:space="0" w:color="auto"/>
              <w:right w:val="single" w:sz="4" w:space="0" w:color="auto"/>
            </w:tcBorders>
            <w:shd w:val="clear" w:color="auto" w:fill="auto"/>
            <w:noWrap/>
            <w:vAlign w:val="center"/>
            <w:hideMark/>
          </w:tcPr>
          <w:p w14:paraId="42CEE296" w14:textId="754CCC35"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1,500.00</w:t>
            </w:r>
          </w:p>
        </w:tc>
        <w:tc>
          <w:tcPr>
            <w:tcW w:w="467" w:type="pct"/>
            <w:tcBorders>
              <w:top w:val="nil"/>
              <w:left w:val="nil"/>
              <w:bottom w:val="single" w:sz="4" w:space="0" w:color="auto"/>
              <w:right w:val="single" w:sz="4" w:space="0" w:color="auto"/>
            </w:tcBorders>
            <w:shd w:val="clear" w:color="auto" w:fill="auto"/>
            <w:noWrap/>
            <w:vAlign w:val="center"/>
            <w:hideMark/>
          </w:tcPr>
          <w:p w14:paraId="15D77DD8" w14:textId="0B7109D0"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1,500.00</w:t>
            </w:r>
          </w:p>
        </w:tc>
        <w:tc>
          <w:tcPr>
            <w:tcW w:w="467" w:type="pct"/>
            <w:tcBorders>
              <w:top w:val="nil"/>
              <w:left w:val="nil"/>
              <w:bottom w:val="single" w:sz="4" w:space="0" w:color="auto"/>
              <w:right w:val="single" w:sz="4" w:space="0" w:color="auto"/>
            </w:tcBorders>
            <w:shd w:val="clear" w:color="auto" w:fill="auto"/>
            <w:noWrap/>
            <w:vAlign w:val="center"/>
            <w:hideMark/>
          </w:tcPr>
          <w:p w14:paraId="070389C9" w14:textId="22441367"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1,500.00</w:t>
            </w:r>
          </w:p>
        </w:tc>
        <w:tc>
          <w:tcPr>
            <w:tcW w:w="467" w:type="pct"/>
            <w:tcBorders>
              <w:top w:val="nil"/>
              <w:left w:val="nil"/>
              <w:bottom w:val="single" w:sz="4" w:space="0" w:color="auto"/>
              <w:right w:val="single" w:sz="4" w:space="0" w:color="auto"/>
            </w:tcBorders>
            <w:shd w:val="clear" w:color="auto" w:fill="auto"/>
            <w:noWrap/>
            <w:vAlign w:val="center"/>
            <w:hideMark/>
          </w:tcPr>
          <w:p w14:paraId="2DC98DFB" w14:textId="7BEF99B1"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1,500.00</w:t>
            </w:r>
          </w:p>
        </w:tc>
        <w:tc>
          <w:tcPr>
            <w:tcW w:w="467" w:type="pct"/>
            <w:tcBorders>
              <w:top w:val="nil"/>
              <w:left w:val="nil"/>
              <w:bottom w:val="single" w:sz="4" w:space="0" w:color="auto"/>
              <w:right w:val="single" w:sz="4" w:space="0" w:color="auto"/>
            </w:tcBorders>
            <w:shd w:val="clear" w:color="auto" w:fill="auto"/>
            <w:noWrap/>
            <w:vAlign w:val="center"/>
            <w:hideMark/>
          </w:tcPr>
          <w:p w14:paraId="2858A53C" w14:textId="2E602D9D"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1,500.00</w:t>
            </w:r>
          </w:p>
        </w:tc>
        <w:tc>
          <w:tcPr>
            <w:tcW w:w="467" w:type="pct"/>
            <w:tcBorders>
              <w:top w:val="nil"/>
              <w:left w:val="nil"/>
              <w:bottom w:val="single" w:sz="4" w:space="0" w:color="auto"/>
              <w:right w:val="single" w:sz="4" w:space="0" w:color="auto"/>
            </w:tcBorders>
            <w:shd w:val="clear" w:color="auto" w:fill="auto"/>
            <w:noWrap/>
            <w:vAlign w:val="center"/>
            <w:hideMark/>
          </w:tcPr>
          <w:p w14:paraId="6BC7BA79" w14:textId="56EC6B63"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1,500.00</w:t>
            </w:r>
          </w:p>
        </w:tc>
        <w:tc>
          <w:tcPr>
            <w:tcW w:w="467" w:type="pct"/>
            <w:tcBorders>
              <w:top w:val="nil"/>
              <w:left w:val="nil"/>
              <w:bottom w:val="single" w:sz="4" w:space="0" w:color="auto"/>
              <w:right w:val="single" w:sz="4" w:space="0" w:color="auto"/>
            </w:tcBorders>
            <w:shd w:val="clear" w:color="auto" w:fill="auto"/>
            <w:noWrap/>
            <w:vAlign w:val="center"/>
            <w:hideMark/>
          </w:tcPr>
          <w:p w14:paraId="68499F54" w14:textId="33797C7A"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1,500.00</w:t>
            </w:r>
          </w:p>
        </w:tc>
        <w:tc>
          <w:tcPr>
            <w:tcW w:w="467" w:type="pct"/>
            <w:tcBorders>
              <w:top w:val="nil"/>
              <w:left w:val="nil"/>
              <w:bottom w:val="single" w:sz="4" w:space="0" w:color="auto"/>
              <w:right w:val="single" w:sz="4" w:space="0" w:color="auto"/>
            </w:tcBorders>
            <w:shd w:val="clear" w:color="auto" w:fill="auto"/>
            <w:noWrap/>
            <w:vAlign w:val="center"/>
            <w:hideMark/>
          </w:tcPr>
          <w:p w14:paraId="6B723E97" w14:textId="33CCC786"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1,500.00</w:t>
            </w:r>
          </w:p>
        </w:tc>
      </w:tr>
      <w:tr w:rsidR="008C18EB" w:rsidRPr="008C18EB" w14:paraId="6FC4C435" w14:textId="77777777" w:rsidTr="004B465C">
        <w:trPr>
          <w:trHeight w:val="312"/>
        </w:trPr>
        <w:tc>
          <w:tcPr>
            <w:tcW w:w="794" w:type="pct"/>
            <w:tcBorders>
              <w:top w:val="nil"/>
              <w:left w:val="single" w:sz="4" w:space="0" w:color="auto"/>
              <w:bottom w:val="single" w:sz="4" w:space="0" w:color="auto"/>
              <w:right w:val="single" w:sz="4" w:space="0" w:color="auto"/>
            </w:tcBorders>
            <w:shd w:val="clear" w:color="auto" w:fill="auto"/>
            <w:noWrap/>
            <w:vAlign w:val="center"/>
            <w:hideMark/>
          </w:tcPr>
          <w:p w14:paraId="379019EC" w14:textId="12BA3056" w:rsidR="008C18EB" w:rsidRPr="004B465C" w:rsidRDefault="008C18EB" w:rsidP="008C18EB">
            <w:pPr>
              <w:jc w:val="both"/>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专项债券发行</w:t>
            </w:r>
          </w:p>
        </w:tc>
        <w:tc>
          <w:tcPr>
            <w:tcW w:w="467" w:type="pct"/>
            <w:tcBorders>
              <w:top w:val="nil"/>
              <w:left w:val="nil"/>
              <w:bottom w:val="single" w:sz="4" w:space="0" w:color="auto"/>
              <w:right w:val="single" w:sz="4" w:space="0" w:color="auto"/>
            </w:tcBorders>
            <w:shd w:val="clear" w:color="auto" w:fill="auto"/>
            <w:noWrap/>
            <w:vAlign w:val="center"/>
            <w:hideMark/>
          </w:tcPr>
          <w:p w14:paraId="2E3F52CB" w14:textId="2BF6624F"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1,500.00</w:t>
            </w:r>
          </w:p>
        </w:tc>
        <w:tc>
          <w:tcPr>
            <w:tcW w:w="467" w:type="pct"/>
            <w:tcBorders>
              <w:top w:val="nil"/>
              <w:left w:val="nil"/>
              <w:bottom w:val="single" w:sz="4" w:space="0" w:color="auto"/>
              <w:right w:val="single" w:sz="4" w:space="0" w:color="auto"/>
            </w:tcBorders>
            <w:shd w:val="clear" w:color="auto" w:fill="auto"/>
            <w:noWrap/>
            <w:vAlign w:val="center"/>
            <w:hideMark/>
          </w:tcPr>
          <w:p w14:paraId="4E580A57" w14:textId="2653FE51"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67" w:type="pct"/>
            <w:tcBorders>
              <w:top w:val="nil"/>
              <w:left w:val="nil"/>
              <w:bottom w:val="single" w:sz="4" w:space="0" w:color="auto"/>
              <w:right w:val="single" w:sz="4" w:space="0" w:color="auto"/>
            </w:tcBorders>
            <w:shd w:val="clear" w:color="auto" w:fill="auto"/>
            <w:noWrap/>
            <w:vAlign w:val="center"/>
            <w:hideMark/>
          </w:tcPr>
          <w:p w14:paraId="22918838" w14:textId="3FF2F5C5"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67" w:type="pct"/>
            <w:tcBorders>
              <w:top w:val="nil"/>
              <w:left w:val="nil"/>
              <w:bottom w:val="single" w:sz="4" w:space="0" w:color="auto"/>
              <w:right w:val="single" w:sz="4" w:space="0" w:color="auto"/>
            </w:tcBorders>
            <w:shd w:val="clear" w:color="auto" w:fill="auto"/>
            <w:noWrap/>
            <w:vAlign w:val="center"/>
            <w:hideMark/>
          </w:tcPr>
          <w:p w14:paraId="4423934D" w14:textId="24243D1C"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67" w:type="pct"/>
            <w:tcBorders>
              <w:top w:val="nil"/>
              <w:left w:val="nil"/>
              <w:bottom w:val="single" w:sz="4" w:space="0" w:color="auto"/>
              <w:right w:val="single" w:sz="4" w:space="0" w:color="auto"/>
            </w:tcBorders>
            <w:shd w:val="clear" w:color="auto" w:fill="auto"/>
            <w:noWrap/>
            <w:vAlign w:val="center"/>
            <w:hideMark/>
          </w:tcPr>
          <w:p w14:paraId="23D6CB57" w14:textId="19086DDB"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67" w:type="pct"/>
            <w:tcBorders>
              <w:top w:val="nil"/>
              <w:left w:val="nil"/>
              <w:bottom w:val="single" w:sz="4" w:space="0" w:color="auto"/>
              <w:right w:val="single" w:sz="4" w:space="0" w:color="auto"/>
            </w:tcBorders>
            <w:shd w:val="clear" w:color="auto" w:fill="auto"/>
            <w:noWrap/>
            <w:vAlign w:val="center"/>
            <w:hideMark/>
          </w:tcPr>
          <w:p w14:paraId="02437E55" w14:textId="71157DCC"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67" w:type="pct"/>
            <w:tcBorders>
              <w:top w:val="nil"/>
              <w:left w:val="nil"/>
              <w:bottom w:val="single" w:sz="4" w:space="0" w:color="auto"/>
              <w:right w:val="single" w:sz="4" w:space="0" w:color="auto"/>
            </w:tcBorders>
            <w:shd w:val="clear" w:color="auto" w:fill="auto"/>
            <w:noWrap/>
            <w:vAlign w:val="center"/>
            <w:hideMark/>
          </w:tcPr>
          <w:p w14:paraId="72523F6B" w14:textId="5C4AF79A"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67" w:type="pct"/>
            <w:tcBorders>
              <w:top w:val="nil"/>
              <w:left w:val="nil"/>
              <w:bottom w:val="single" w:sz="4" w:space="0" w:color="auto"/>
              <w:right w:val="single" w:sz="4" w:space="0" w:color="auto"/>
            </w:tcBorders>
            <w:shd w:val="clear" w:color="auto" w:fill="auto"/>
            <w:noWrap/>
            <w:vAlign w:val="center"/>
            <w:hideMark/>
          </w:tcPr>
          <w:p w14:paraId="5857E315" w14:textId="64B117C9"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67" w:type="pct"/>
            <w:tcBorders>
              <w:top w:val="nil"/>
              <w:left w:val="nil"/>
              <w:bottom w:val="single" w:sz="4" w:space="0" w:color="auto"/>
              <w:right w:val="single" w:sz="4" w:space="0" w:color="auto"/>
            </w:tcBorders>
            <w:shd w:val="clear" w:color="auto" w:fill="auto"/>
            <w:noWrap/>
            <w:vAlign w:val="center"/>
            <w:hideMark/>
          </w:tcPr>
          <w:p w14:paraId="3EAF8D19" w14:textId="51FBC0F2"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r>
      <w:tr w:rsidR="008C18EB" w:rsidRPr="008C18EB" w14:paraId="07961628" w14:textId="77777777" w:rsidTr="004B465C">
        <w:trPr>
          <w:trHeight w:val="312"/>
        </w:trPr>
        <w:tc>
          <w:tcPr>
            <w:tcW w:w="794" w:type="pct"/>
            <w:tcBorders>
              <w:top w:val="nil"/>
              <w:left w:val="single" w:sz="4" w:space="0" w:color="auto"/>
              <w:bottom w:val="single" w:sz="4" w:space="0" w:color="auto"/>
              <w:right w:val="single" w:sz="4" w:space="0" w:color="auto"/>
            </w:tcBorders>
            <w:shd w:val="clear" w:color="auto" w:fill="auto"/>
            <w:noWrap/>
            <w:vAlign w:val="center"/>
            <w:hideMark/>
          </w:tcPr>
          <w:p w14:paraId="6AA81412" w14:textId="77777777" w:rsidR="008C18EB" w:rsidRPr="004B465C" w:rsidRDefault="008C18EB" w:rsidP="008C18EB">
            <w:pPr>
              <w:jc w:val="both"/>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利息支出</w:t>
            </w:r>
          </w:p>
        </w:tc>
        <w:tc>
          <w:tcPr>
            <w:tcW w:w="467" w:type="pct"/>
            <w:tcBorders>
              <w:top w:val="nil"/>
              <w:left w:val="nil"/>
              <w:bottom w:val="single" w:sz="4" w:space="0" w:color="auto"/>
              <w:right w:val="single" w:sz="4" w:space="0" w:color="auto"/>
            </w:tcBorders>
            <w:shd w:val="clear" w:color="auto" w:fill="auto"/>
            <w:noWrap/>
            <w:vAlign w:val="center"/>
            <w:hideMark/>
          </w:tcPr>
          <w:p w14:paraId="4D16E941" w14:textId="41AD874D"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67" w:type="pct"/>
            <w:tcBorders>
              <w:top w:val="nil"/>
              <w:left w:val="nil"/>
              <w:bottom w:val="single" w:sz="4" w:space="0" w:color="auto"/>
              <w:right w:val="single" w:sz="4" w:space="0" w:color="auto"/>
            </w:tcBorders>
            <w:shd w:val="clear" w:color="auto" w:fill="auto"/>
            <w:noWrap/>
            <w:vAlign w:val="center"/>
            <w:hideMark/>
          </w:tcPr>
          <w:p w14:paraId="02FF3FFA" w14:textId="7B0B178E"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34.90</w:t>
            </w:r>
          </w:p>
        </w:tc>
        <w:tc>
          <w:tcPr>
            <w:tcW w:w="467" w:type="pct"/>
            <w:tcBorders>
              <w:top w:val="nil"/>
              <w:left w:val="nil"/>
              <w:bottom w:val="single" w:sz="4" w:space="0" w:color="auto"/>
              <w:right w:val="single" w:sz="4" w:space="0" w:color="auto"/>
            </w:tcBorders>
            <w:shd w:val="clear" w:color="auto" w:fill="auto"/>
            <w:noWrap/>
            <w:vAlign w:val="center"/>
            <w:hideMark/>
          </w:tcPr>
          <w:p w14:paraId="154619BD" w14:textId="01D8F122"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34.90</w:t>
            </w:r>
          </w:p>
        </w:tc>
        <w:tc>
          <w:tcPr>
            <w:tcW w:w="467" w:type="pct"/>
            <w:tcBorders>
              <w:top w:val="nil"/>
              <w:left w:val="nil"/>
              <w:bottom w:val="single" w:sz="4" w:space="0" w:color="auto"/>
              <w:right w:val="single" w:sz="4" w:space="0" w:color="auto"/>
            </w:tcBorders>
            <w:shd w:val="clear" w:color="auto" w:fill="auto"/>
            <w:noWrap/>
            <w:vAlign w:val="center"/>
            <w:hideMark/>
          </w:tcPr>
          <w:p w14:paraId="3D5618D1" w14:textId="02048350"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34.90</w:t>
            </w:r>
          </w:p>
        </w:tc>
        <w:tc>
          <w:tcPr>
            <w:tcW w:w="467" w:type="pct"/>
            <w:tcBorders>
              <w:top w:val="nil"/>
              <w:left w:val="nil"/>
              <w:bottom w:val="single" w:sz="4" w:space="0" w:color="auto"/>
              <w:right w:val="single" w:sz="4" w:space="0" w:color="auto"/>
            </w:tcBorders>
            <w:shd w:val="clear" w:color="auto" w:fill="auto"/>
            <w:noWrap/>
            <w:vAlign w:val="center"/>
            <w:hideMark/>
          </w:tcPr>
          <w:p w14:paraId="2B02DA66" w14:textId="454481C1"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34.90</w:t>
            </w:r>
          </w:p>
        </w:tc>
        <w:tc>
          <w:tcPr>
            <w:tcW w:w="467" w:type="pct"/>
            <w:tcBorders>
              <w:top w:val="nil"/>
              <w:left w:val="nil"/>
              <w:bottom w:val="single" w:sz="4" w:space="0" w:color="auto"/>
              <w:right w:val="single" w:sz="4" w:space="0" w:color="auto"/>
            </w:tcBorders>
            <w:shd w:val="clear" w:color="auto" w:fill="auto"/>
            <w:noWrap/>
            <w:vAlign w:val="center"/>
            <w:hideMark/>
          </w:tcPr>
          <w:p w14:paraId="2781580B" w14:textId="6206A9C7"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34.90</w:t>
            </w:r>
          </w:p>
        </w:tc>
        <w:tc>
          <w:tcPr>
            <w:tcW w:w="467" w:type="pct"/>
            <w:tcBorders>
              <w:top w:val="nil"/>
              <w:left w:val="nil"/>
              <w:bottom w:val="single" w:sz="4" w:space="0" w:color="auto"/>
              <w:right w:val="single" w:sz="4" w:space="0" w:color="auto"/>
            </w:tcBorders>
            <w:shd w:val="clear" w:color="auto" w:fill="auto"/>
            <w:noWrap/>
            <w:vAlign w:val="center"/>
            <w:hideMark/>
          </w:tcPr>
          <w:p w14:paraId="281B616F" w14:textId="4C24E877"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34.90</w:t>
            </w:r>
          </w:p>
        </w:tc>
        <w:tc>
          <w:tcPr>
            <w:tcW w:w="467" w:type="pct"/>
            <w:tcBorders>
              <w:top w:val="nil"/>
              <w:left w:val="nil"/>
              <w:bottom w:val="single" w:sz="4" w:space="0" w:color="auto"/>
              <w:right w:val="single" w:sz="4" w:space="0" w:color="auto"/>
            </w:tcBorders>
            <w:shd w:val="clear" w:color="auto" w:fill="auto"/>
            <w:noWrap/>
            <w:vAlign w:val="center"/>
            <w:hideMark/>
          </w:tcPr>
          <w:p w14:paraId="3D75A515" w14:textId="2542EA43"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34.90</w:t>
            </w:r>
          </w:p>
        </w:tc>
        <w:tc>
          <w:tcPr>
            <w:tcW w:w="467" w:type="pct"/>
            <w:tcBorders>
              <w:top w:val="nil"/>
              <w:left w:val="nil"/>
              <w:bottom w:val="single" w:sz="4" w:space="0" w:color="auto"/>
              <w:right w:val="single" w:sz="4" w:space="0" w:color="auto"/>
            </w:tcBorders>
            <w:shd w:val="clear" w:color="auto" w:fill="auto"/>
            <w:noWrap/>
            <w:vAlign w:val="center"/>
            <w:hideMark/>
          </w:tcPr>
          <w:p w14:paraId="654AF496" w14:textId="1426DFCE"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34.90</w:t>
            </w:r>
          </w:p>
        </w:tc>
      </w:tr>
      <w:tr w:rsidR="008C18EB" w:rsidRPr="008C18EB" w14:paraId="3EB76310" w14:textId="77777777" w:rsidTr="004B465C">
        <w:trPr>
          <w:trHeight w:val="312"/>
        </w:trPr>
        <w:tc>
          <w:tcPr>
            <w:tcW w:w="794" w:type="pct"/>
            <w:tcBorders>
              <w:top w:val="nil"/>
              <w:left w:val="single" w:sz="4" w:space="0" w:color="auto"/>
              <w:bottom w:val="single" w:sz="4" w:space="0" w:color="auto"/>
              <w:right w:val="single" w:sz="4" w:space="0" w:color="auto"/>
            </w:tcBorders>
            <w:shd w:val="clear" w:color="auto" w:fill="auto"/>
            <w:noWrap/>
            <w:vAlign w:val="center"/>
            <w:hideMark/>
          </w:tcPr>
          <w:p w14:paraId="23DCB315" w14:textId="77777777" w:rsidR="008C18EB" w:rsidRPr="004B465C" w:rsidRDefault="008C18EB" w:rsidP="008C18EB">
            <w:pPr>
              <w:jc w:val="both"/>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本期还款</w:t>
            </w:r>
          </w:p>
        </w:tc>
        <w:tc>
          <w:tcPr>
            <w:tcW w:w="467" w:type="pct"/>
            <w:tcBorders>
              <w:top w:val="nil"/>
              <w:left w:val="nil"/>
              <w:bottom w:val="single" w:sz="4" w:space="0" w:color="auto"/>
              <w:right w:val="single" w:sz="4" w:space="0" w:color="auto"/>
            </w:tcBorders>
            <w:shd w:val="clear" w:color="auto" w:fill="auto"/>
            <w:noWrap/>
            <w:vAlign w:val="center"/>
            <w:hideMark/>
          </w:tcPr>
          <w:p w14:paraId="64CEE918" w14:textId="56623F83"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67" w:type="pct"/>
            <w:tcBorders>
              <w:top w:val="nil"/>
              <w:left w:val="nil"/>
              <w:bottom w:val="single" w:sz="4" w:space="0" w:color="auto"/>
              <w:right w:val="single" w:sz="4" w:space="0" w:color="auto"/>
            </w:tcBorders>
            <w:shd w:val="clear" w:color="auto" w:fill="auto"/>
            <w:noWrap/>
            <w:vAlign w:val="center"/>
            <w:hideMark/>
          </w:tcPr>
          <w:p w14:paraId="70D12DF5" w14:textId="255C6D6D"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34.90</w:t>
            </w:r>
          </w:p>
        </w:tc>
        <w:tc>
          <w:tcPr>
            <w:tcW w:w="467" w:type="pct"/>
            <w:tcBorders>
              <w:top w:val="nil"/>
              <w:left w:val="nil"/>
              <w:bottom w:val="single" w:sz="4" w:space="0" w:color="auto"/>
              <w:right w:val="single" w:sz="4" w:space="0" w:color="auto"/>
            </w:tcBorders>
            <w:shd w:val="clear" w:color="auto" w:fill="auto"/>
            <w:noWrap/>
            <w:vAlign w:val="center"/>
            <w:hideMark/>
          </w:tcPr>
          <w:p w14:paraId="23DD13F4" w14:textId="2DC50D7C"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34.90</w:t>
            </w:r>
          </w:p>
        </w:tc>
        <w:tc>
          <w:tcPr>
            <w:tcW w:w="467" w:type="pct"/>
            <w:tcBorders>
              <w:top w:val="nil"/>
              <w:left w:val="nil"/>
              <w:bottom w:val="single" w:sz="4" w:space="0" w:color="auto"/>
              <w:right w:val="single" w:sz="4" w:space="0" w:color="auto"/>
            </w:tcBorders>
            <w:shd w:val="clear" w:color="auto" w:fill="auto"/>
            <w:noWrap/>
            <w:vAlign w:val="center"/>
            <w:hideMark/>
          </w:tcPr>
          <w:p w14:paraId="73534C88" w14:textId="38CBB45A"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34.90</w:t>
            </w:r>
          </w:p>
        </w:tc>
        <w:tc>
          <w:tcPr>
            <w:tcW w:w="467" w:type="pct"/>
            <w:tcBorders>
              <w:top w:val="nil"/>
              <w:left w:val="nil"/>
              <w:bottom w:val="single" w:sz="4" w:space="0" w:color="auto"/>
              <w:right w:val="single" w:sz="4" w:space="0" w:color="auto"/>
            </w:tcBorders>
            <w:shd w:val="clear" w:color="auto" w:fill="auto"/>
            <w:noWrap/>
            <w:vAlign w:val="center"/>
            <w:hideMark/>
          </w:tcPr>
          <w:p w14:paraId="5DABF5E4" w14:textId="21990A7B"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34.90</w:t>
            </w:r>
          </w:p>
        </w:tc>
        <w:tc>
          <w:tcPr>
            <w:tcW w:w="467" w:type="pct"/>
            <w:tcBorders>
              <w:top w:val="nil"/>
              <w:left w:val="nil"/>
              <w:bottom w:val="single" w:sz="4" w:space="0" w:color="auto"/>
              <w:right w:val="single" w:sz="4" w:space="0" w:color="auto"/>
            </w:tcBorders>
            <w:shd w:val="clear" w:color="auto" w:fill="auto"/>
            <w:noWrap/>
            <w:vAlign w:val="center"/>
            <w:hideMark/>
          </w:tcPr>
          <w:p w14:paraId="290508AA" w14:textId="6C6B775A"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34.90</w:t>
            </w:r>
          </w:p>
        </w:tc>
        <w:tc>
          <w:tcPr>
            <w:tcW w:w="467" w:type="pct"/>
            <w:tcBorders>
              <w:top w:val="nil"/>
              <w:left w:val="nil"/>
              <w:bottom w:val="single" w:sz="4" w:space="0" w:color="auto"/>
              <w:right w:val="single" w:sz="4" w:space="0" w:color="auto"/>
            </w:tcBorders>
            <w:shd w:val="clear" w:color="auto" w:fill="auto"/>
            <w:noWrap/>
            <w:vAlign w:val="center"/>
            <w:hideMark/>
          </w:tcPr>
          <w:p w14:paraId="412A3D9F" w14:textId="1F4728C6"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34.90</w:t>
            </w:r>
          </w:p>
        </w:tc>
        <w:tc>
          <w:tcPr>
            <w:tcW w:w="467" w:type="pct"/>
            <w:tcBorders>
              <w:top w:val="nil"/>
              <w:left w:val="nil"/>
              <w:bottom w:val="single" w:sz="4" w:space="0" w:color="auto"/>
              <w:right w:val="single" w:sz="4" w:space="0" w:color="auto"/>
            </w:tcBorders>
            <w:shd w:val="clear" w:color="auto" w:fill="auto"/>
            <w:noWrap/>
            <w:vAlign w:val="center"/>
            <w:hideMark/>
          </w:tcPr>
          <w:p w14:paraId="0C8ACAC4" w14:textId="35AD73AD"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34.90</w:t>
            </w:r>
          </w:p>
        </w:tc>
        <w:tc>
          <w:tcPr>
            <w:tcW w:w="467" w:type="pct"/>
            <w:tcBorders>
              <w:top w:val="nil"/>
              <w:left w:val="nil"/>
              <w:bottom w:val="single" w:sz="4" w:space="0" w:color="auto"/>
              <w:right w:val="single" w:sz="4" w:space="0" w:color="auto"/>
            </w:tcBorders>
            <w:shd w:val="clear" w:color="auto" w:fill="auto"/>
            <w:noWrap/>
            <w:vAlign w:val="center"/>
            <w:hideMark/>
          </w:tcPr>
          <w:p w14:paraId="4391780D" w14:textId="366490E4"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34.90</w:t>
            </w:r>
          </w:p>
        </w:tc>
      </w:tr>
      <w:tr w:rsidR="008C18EB" w:rsidRPr="008C18EB" w14:paraId="51C737A1" w14:textId="77777777" w:rsidTr="004B465C">
        <w:trPr>
          <w:trHeight w:val="312"/>
        </w:trPr>
        <w:tc>
          <w:tcPr>
            <w:tcW w:w="794" w:type="pct"/>
            <w:tcBorders>
              <w:top w:val="nil"/>
              <w:left w:val="single" w:sz="4" w:space="0" w:color="auto"/>
              <w:bottom w:val="single" w:sz="4" w:space="0" w:color="auto"/>
              <w:right w:val="single" w:sz="4" w:space="0" w:color="auto"/>
            </w:tcBorders>
            <w:shd w:val="clear" w:color="auto" w:fill="auto"/>
            <w:noWrap/>
            <w:vAlign w:val="center"/>
            <w:hideMark/>
          </w:tcPr>
          <w:p w14:paraId="1C603C93" w14:textId="77777777" w:rsidR="008C18EB" w:rsidRPr="004B465C" w:rsidRDefault="008C18EB" w:rsidP="008C18EB">
            <w:pPr>
              <w:jc w:val="both"/>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其中：还本</w:t>
            </w:r>
          </w:p>
        </w:tc>
        <w:tc>
          <w:tcPr>
            <w:tcW w:w="467" w:type="pct"/>
            <w:tcBorders>
              <w:top w:val="nil"/>
              <w:left w:val="nil"/>
              <w:bottom w:val="single" w:sz="4" w:space="0" w:color="auto"/>
              <w:right w:val="single" w:sz="4" w:space="0" w:color="auto"/>
            </w:tcBorders>
            <w:shd w:val="clear" w:color="auto" w:fill="auto"/>
            <w:noWrap/>
            <w:vAlign w:val="center"/>
            <w:hideMark/>
          </w:tcPr>
          <w:p w14:paraId="33008C20" w14:textId="57DBC405"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67" w:type="pct"/>
            <w:tcBorders>
              <w:top w:val="nil"/>
              <w:left w:val="nil"/>
              <w:bottom w:val="single" w:sz="4" w:space="0" w:color="auto"/>
              <w:right w:val="single" w:sz="4" w:space="0" w:color="auto"/>
            </w:tcBorders>
            <w:shd w:val="clear" w:color="auto" w:fill="auto"/>
            <w:noWrap/>
            <w:vAlign w:val="center"/>
            <w:hideMark/>
          </w:tcPr>
          <w:p w14:paraId="370C6E5C" w14:textId="69EE04A2"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67" w:type="pct"/>
            <w:tcBorders>
              <w:top w:val="nil"/>
              <w:left w:val="nil"/>
              <w:bottom w:val="single" w:sz="4" w:space="0" w:color="auto"/>
              <w:right w:val="single" w:sz="4" w:space="0" w:color="auto"/>
            </w:tcBorders>
            <w:shd w:val="clear" w:color="auto" w:fill="auto"/>
            <w:noWrap/>
            <w:vAlign w:val="center"/>
            <w:hideMark/>
          </w:tcPr>
          <w:p w14:paraId="72F284E1" w14:textId="5F6C2B9A"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67" w:type="pct"/>
            <w:tcBorders>
              <w:top w:val="nil"/>
              <w:left w:val="nil"/>
              <w:bottom w:val="single" w:sz="4" w:space="0" w:color="auto"/>
              <w:right w:val="single" w:sz="4" w:space="0" w:color="auto"/>
            </w:tcBorders>
            <w:shd w:val="clear" w:color="auto" w:fill="auto"/>
            <w:noWrap/>
            <w:vAlign w:val="center"/>
            <w:hideMark/>
          </w:tcPr>
          <w:p w14:paraId="5CE09430" w14:textId="2DBE96E5"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67" w:type="pct"/>
            <w:tcBorders>
              <w:top w:val="nil"/>
              <w:left w:val="nil"/>
              <w:bottom w:val="single" w:sz="4" w:space="0" w:color="auto"/>
              <w:right w:val="single" w:sz="4" w:space="0" w:color="auto"/>
            </w:tcBorders>
            <w:shd w:val="clear" w:color="auto" w:fill="auto"/>
            <w:noWrap/>
            <w:vAlign w:val="center"/>
            <w:hideMark/>
          </w:tcPr>
          <w:p w14:paraId="2EA1D75F" w14:textId="00EF57E2"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67" w:type="pct"/>
            <w:tcBorders>
              <w:top w:val="nil"/>
              <w:left w:val="nil"/>
              <w:bottom w:val="single" w:sz="4" w:space="0" w:color="auto"/>
              <w:right w:val="single" w:sz="4" w:space="0" w:color="auto"/>
            </w:tcBorders>
            <w:shd w:val="clear" w:color="auto" w:fill="auto"/>
            <w:noWrap/>
            <w:vAlign w:val="center"/>
            <w:hideMark/>
          </w:tcPr>
          <w:p w14:paraId="11D01A80" w14:textId="3989A02B"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67" w:type="pct"/>
            <w:tcBorders>
              <w:top w:val="nil"/>
              <w:left w:val="nil"/>
              <w:bottom w:val="single" w:sz="4" w:space="0" w:color="auto"/>
              <w:right w:val="single" w:sz="4" w:space="0" w:color="auto"/>
            </w:tcBorders>
            <w:shd w:val="clear" w:color="auto" w:fill="auto"/>
            <w:noWrap/>
            <w:vAlign w:val="center"/>
            <w:hideMark/>
          </w:tcPr>
          <w:p w14:paraId="779562CF" w14:textId="75466CFC"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67" w:type="pct"/>
            <w:tcBorders>
              <w:top w:val="nil"/>
              <w:left w:val="nil"/>
              <w:bottom w:val="single" w:sz="4" w:space="0" w:color="auto"/>
              <w:right w:val="single" w:sz="4" w:space="0" w:color="auto"/>
            </w:tcBorders>
            <w:shd w:val="clear" w:color="auto" w:fill="auto"/>
            <w:noWrap/>
            <w:vAlign w:val="center"/>
            <w:hideMark/>
          </w:tcPr>
          <w:p w14:paraId="38FC95E3" w14:textId="2C84AFA3"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67" w:type="pct"/>
            <w:tcBorders>
              <w:top w:val="nil"/>
              <w:left w:val="nil"/>
              <w:bottom w:val="single" w:sz="4" w:space="0" w:color="auto"/>
              <w:right w:val="single" w:sz="4" w:space="0" w:color="auto"/>
            </w:tcBorders>
            <w:shd w:val="clear" w:color="auto" w:fill="auto"/>
            <w:noWrap/>
            <w:vAlign w:val="center"/>
            <w:hideMark/>
          </w:tcPr>
          <w:p w14:paraId="4D0EF484" w14:textId="759BF545"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r>
      <w:tr w:rsidR="008C18EB" w:rsidRPr="008C18EB" w14:paraId="00AB01BB" w14:textId="77777777" w:rsidTr="004B465C">
        <w:trPr>
          <w:trHeight w:val="312"/>
        </w:trPr>
        <w:tc>
          <w:tcPr>
            <w:tcW w:w="794" w:type="pct"/>
            <w:tcBorders>
              <w:top w:val="nil"/>
              <w:left w:val="single" w:sz="4" w:space="0" w:color="auto"/>
              <w:bottom w:val="single" w:sz="4" w:space="0" w:color="auto"/>
              <w:right w:val="single" w:sz="4" w:space="0" w:color="auto"/>
            </w:tcBorders>
            <w:shd w:val="clear" w:color="auto" w:fill="auto"/>
            <w:noWrap/>
            <w:vAlign w:val="center"/>
            <w:hideMark/>
          </w:tcPr>
          <w:p w14:paraId="62AE06DC" w14:textId="77777777" w:rsidR="008C18EB" w:rsidRPr="004B465C" w:rsidRDefault="008C18EB" w:rsidP="008C18EB">
            <w:pPr>
              <w:jc w:val="both"/>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付息</w:t>
            </w:r>
          </w:p>
        </w:tc>
        <w:tc>
          <w:tcPr>
            <w:tcW w:w="467" w:type="pct"/>
            <w:tcBorders>
              <w:top w:val="nil"/>
              <w:left w:val="nil"/>
              <w:bottom w:val="single" w:sz="4" w:space="0" w:color="auto"/>
              <w:right w:val="single" w:sz="4" w:space="0" w:color="auto"/>
            </w:tcBorders>
            <w:shd w:val="clear" w:color="auto" w:fill="auto"/>
            <w:noWrap/>
            <w:vAlign w:val="center"/>
            <w:hideMark/>
          </w:tcPr>
          <w:p w14:paraId="494A0AED" w14:textId="2F6E6536"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67" w:type="pct"/>
            <w:tcBorders>
              <w:top w:val="nil"/>
              <w:left w:val="nil"/>
              <w:bottom w:val="single" w:sz="4" w:space="0" w:color="auto"/>
              <w:right w:val="single" w:sz="4" w:space="0" w:color="auto"/>
            </w:tcBorders>
            <w:shd w:val="clear" w:color="auto" w:fill="auto"/>
            <w:noWrap/>
            <w:vAlign w:val="center"/>
            <w:hideMark/>
          </w:tcPr>
          <w:p w14:paraId="3891FA3E" w14:textId="25BB7FD1"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34.90</w:t>
            </w:r>
          </w:p>
        </w:tc>
        <w:tc>
          <w:tcPr>
            <w:tcW w:w="467" w:type="pct"/>
            <w:tcBorders>
              <w:top w:val="nil"/>
              <w:left w:val="nil"/>
              <w:bottom w:val="single" w:sz="4" w:space="0" w:color="auto"/>
              <w:right w:val="single" w:sz="4" w:space="0" w:color="auto"/>
            </w:tcBorders>
            <w:shd w:val="clear" w:color="auto" w:fill="auto"/>
            <w:noWrap/>
            <w:vAlign w:val="center"/>
            <w:hideMark/>
          </w:tcPr>
          <w:p w14:paraId="5339F5B0" w14:textId="54979DA3"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34.90</w:t>
            </w:r>
          </w:p>
        </w:tc>
        <w:tc>
          <w:tcPr>
            <w:tcW w:w="467" w:type="pct"/>
            <w:tcBorders>
              <w:top w:val="nil"/>
              <w:left w:val="nil"/>
              <w:bottom w:val="single" w:sz="4" w:space="0" w:color="auto"/>
              <w:right w:val="single" w:sz="4" w:space="0" w:color="auto"/>
            </w:tcBorders>
            <w:shd w:val="clear" w:color="auto" w:fill="auto"/>
            <w:noWrap/>
            <w:vAlign w:val="center"/>
            <w:hideMark/>
          </w:tcPr>
          <w:p w14:paraId="7193409E" w14:textId="7C7BC1BD"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34.90</w:t>
            </w:r>
          </w:p>
        </w:tc>
        <w:tc>
          <w:tcPr>
            <w:tcW w:w="467" w:type="pct"/>
            <w:tcBorders>
              <w:top w:val="nil"/>
              <w:left w:val="nil"/>
              <w:bottom w:val="single" w:sz="4" w:space="0" w:color="auto"/>
              <w:right w:val="single" w:sz="4" w:space="0" w:color="auto"/>
            </w:tcBorders>
            <w:shd w:val="clear" w:color="auto" w:fill="auto"/>
            <w:noWrap/>
            <w:vAlign w:val="center"/>
            <w:hideMark/>
          </w:tcPr>
          <w:p w14:paraId="3922EBE1" w14:textId="33CDD100"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34.90</w:t>
            </w:r>
          </w:p>
        </w:tc>
        <w:tc>
          <w:tcPr>
            <w:tcW w:w="467" w:type="pct"/>
            <w:tcBorders>
              <w:top w:val="nil"/>
              <w:left w:val="nil"/>
              <w:bottom w:val="single" w:sz="4" w:space="0" w:color="auto"/>
              <w:right w:val="single" w:sz="4" w:space="0" w:color="auto"/>
            </w:tcBorders>
            <w:shd w:val="clear" w:color="auto" w:fill="auto"/>
            <w:noWrap/>
            <w:vAlign w:val="center"/>
            <w:hideMark/>
          </w:tcPr>
          <w:p w14:paraId="0BBFE198" w14:textId="64A3A6E8"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34.90</w:t>
            </w:r>
          </w:p>
        </w:tc>
        <w:tc>
          <w:tcPr>
            <w:tcW w:w="467" w:type="pct"/>
            <w:tcBorders>
              <w:top w:val="nil"/>
              <w:left w:val="nil"/>
              <w:bottom w:val="single" w:sz="4" w:space="0" w:color="auto"/>
              <w:right w:val="single" w:sz="4" w:space="0" w:color="auto"/>
            </w:tcBorders>
            <w:shd w:val="clear" w:color="auto" w:fill="auto"/>
            <w:noWrap/>
            <w:vAlign w:val="center"/>
            <w:hideMark/>
          </w:tcPr>
          <w:p w14:paraId="5B3E494D" w14:textId="40134DF2"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34.90</w:t>
            </w:r>
          </w:p>
        </w:tc>
        <w:tc>
          <w:tcPr>
            <w:tcW w:w="467" w:type="pct"/>
            <w:tcBorders>
              <w:top w:val="nil"/>
              <w:left w:val="nil"/>
              <w:bottom w:val="single" w:sz="4" w:space="0" w:color="auto"/>
              <w:right w:val="single" w:sz="4" w:space="0" w:color="auto"/>
            </w:tcBorders>
            <w:shd w:val="clear" w:color="auto" w:fill="auto"/>
            <w:noWrap/>
            <w:vAlign w:val="center"/>
            <w:hideMark/>
          </w:tcPr>
          <w:p w14:paraId="7F8EFAF1" w14:textId="49D6AA32"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34.90</w:t>
            </w:r>
          </w:p>
        </w:tc>
        <w:tc>
          <w:tcPr>
            <w:tcW w:w="467" w:type="pct"/>
            <w:tcBorders>
              <w:top w:val="nil"/>
              <w:left w:val="nil"/>
              <w:bottom w:val="single" w:sz="4" w:space="0" w:color="auto"/>
              <w:right w:val="single" w:sz="4" w:space="0" w:color="auto"/>
            </w:tcBorders>
            <w:shd w:val="clear" w:color="auto" w:fill="auto"/>
            <w:noWrap/>
            <w:vAlign w:val="center"/>
            <w:hideMark/>
          </w:tcPr>
          <w:p w14:paraId="2B3DE5F0" w14:textId="43BC10F2"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34.90</w:t>
            </w:r>
          </w:p>
        </w:tc>
      </w:tr>
      <w:tr w:rsidR="008C18EB" w:rsidRPr="008C18EB" w14:paraId="7566F3E5" w14:textId="77777777" w:rsidTr="004B465C">
        <w:trPr>
          <w:trHeight w:val="312"/>
        </w:trPr>
        <w:tc>
          <w:tcPr>
            <w:tcW w:w="794" w:type="pct"/>
            <w:tcBorders>
              <w:top w:val="nil"/>
              <w:left w:val="single" w:sz="4" w:space="0" w:color="auto"/>
              <w:bottom w:val="single" w:sz="4" w:space="0" w:color="auto"/>
              <w:right w:val="single" w:sz="4" w:space="0" w:color="auto"/>
            </w:tcBorders>
            <w:shd w:val="clear" w:color="auto" w:fill="auto"/>
            <w:noWrap/>
            <w:vAlign w:val="center"/>
            <w:hideMark/>
          </w:tcPr>
          <w:p w14:paraId="3B6E18BC" w14:textId="77777777" w:rsidR="008C18EB" w:rsidRPr="004B465C" w:rsidRDefault="008C18EB" w:rsidP="008C18EB">
            <w:pPr>
              <w:jc w:val="both"/>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期末专项债券余额</w:t>
            </w:r>
          </w:p>
        </w:tc>
        <w:tc>
          <w:tcPr>
            <w:tcW w:w="467" w:type="pct"/>
            <w:tcBorders>
              <w:top w:val="nil"/>
              <w:left w:val="nil"/>
              <w:bottom w:val="single" w:sz="4" w:space="0" w:color="auto"/>
              <w:right w:val="single" w:sz="4" w:space="0" w:color="auto"/>
            </w:tcBorders>
            <w:shd w:val="clear" w:color="auto" w:fill="auto"/>
            <w:noWrap/>
            <w:vAlign w:val="center"/>
            <w:hideMark/>
          </w:tcPr>
          <w:p w14:paraId="09B7A7D0" w14:textId="3DA24CF5"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1,500.00</w:t>
            </w:r>
          </w:p>
        </w:tc>
        <w:tc>
          <w:tcPr>
            <w:tcW w:w="467" w:type="pct"/>
            <w:tcBorders>
              <w:top w:val="nil"/>
              <w:left w:val="nil"/>
              <w:bottom w:val="single" w:sz="4" w:space="0" w:color="auto"/>
              <w:right w:val="single" w:sz="4" w:space="0" w:color="auto"/>
            </w:tcBorders>
            <w:shd w:val="clear" w:color="auto" w:fill="auto"/>
            <w:noWrap/>
            <w:vAlign w:val="center"/>
            <w:hideMark/>
          </w:tcPr>
          <w:p w14:paraId="65AD8863" w14:textId="411577C8"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1,500.00</w:t>
            </w:r>
          </w:p>
        </w:tc>
        <w:tc>
          <w:tcPr>
            <w:tcW w:w="467" w:type="pct"/>
            <w:tcBorders>
              <w:top w:val="nil"/>
              <w:left w:val="nil"/>
              <w:bottom w:val="single" w:sz="4" w:space="0" w:color="auto"/>
              <w:right w:val="single" w:sz="4" w:space="0" w:color="auto"/>
            </w:tcBorders>
            <w:shd w:val="clear" w:color="auto" w:fill="auto"/>
            <w:noWrap/>
            <w:vAlign w:val="center"/>
            <w:hideMark/>
          </w:tcPr>
          <w:p w14:paraId="4D563626" w14:textId="0E95A993"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1,500.00</w:t>
            </w:r>
          </w:p>
        </w:tc>
        <w:tc>
          <w:tcPr>
            <w:tcW w:w="467" w:type="pct"/>
            <w:tcBorders>
              <w:top w:val="nil"/>
              <w:left w:val="nil"/>
              <w:bottom w:val="single" w:sz="4" w:space="0" w:color="auto"/>
              <w:right w:val="single" w:sz="4" w:space="0" w:color="auto"/>
            </w:tcBorders>
            <w:shd w:val="clear" w:color="auto" w:fill="auto"/>
            <w:noWrap/>
            <w:vAlign w:val="center"/>
            <w:hideMark/>
          </w:tcPr>
          <w:p w14:paraId="7F683721" w14:textId="26195323"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1,500.00</w:t>
            </w:r>
          </w:p>
        </w:tc>
        <w:tc>
          <w:tcPr>
            <w:tcW w:w="467" w:type="pct"/>
            <w:tcBorders>
              <w:top w:val="nil"/>
              <w:left w:val="nil"/>
              <w:bottom w:val="single" w:sz="4" w:space="0" w:color="auto"/>
              <w:right w:val="single" w:sz="4" w:space="0" w:color="auto"/>
            </w:tcBorders>
            <w:shd w:val="clear" w:color="auto" w:fill="auto"/>
            <w:noWrap/>
            <w:vAlign w:val="center"/>
            <w:hideMark/>
          </w:tcPr>
          <w:p w14:paraId="5C17D955" w14:textId="26FB5874"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1,500.00</w:t>
            </w:r>
          </w:p>
        </w:tc>
        <w:tc>
          <w:tcPr>
            <w:tcW w:w="467" w:type="pct"/>
            <w:tcBorders>
              <w:top w:val="nil"/>
              <w:left w:val="nil"/>
              <w:bottom w:val="single" w:sz="4" w:space="0" w:color="auto"/>
              <w:right w:val="single" w:sz="4" w:space="0" w:color="auto"/>
            </w:tcBorders>
            <w:shd w:val="clear" w:color="auto" w:fill="auto"/>
            <w:noWrap/>
            <w:vAlign w:val="center"/>
            <w:hideMark/>
          </w:tcPr>
          <w:p w14:paraId="19F984E5" w14:textId="41D61D2C"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1,500.00</w:t>
            </w:r>
          </w:p>
        </w:tc>
        <w:tc>
          <w:tcPr>
            <w:tcW w:w="467" w:type="pct"/>
            <w:tcBorders>
              <w:top w:val="nil"/>
              <w:left w:val="nil"/>
              <w:bottom w:val="single" w:sz="4" w:space="0" w:color="auto"/>
              <w:right w:val="single" w:sz="4" w:space="0" w:color="auto"/>
            </w:tcBorders>
            <w:shd w:val="clear" w:color="auto" w:fill="auto"/>
            <w:noWrap/>
            <w:vAlign w:val="center"/>
            <w:hideMark/>
          </w:tcPr>
          <w:p w14:paraId="146C1811" w14:textId="397D19DD"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1,500.00</w:t>
            </w:r>
          </w:p>
        </w:tc>
        <w:tc>
          <w:tcPr>
            <w:tcW w:w="467" w:type="pct"/>
            <w:tcBorders>
              <w:top w:val="nil"/>
              <w:left w:val="nil"/>
              <w:bottom w:val="single" w:sz="4" w:space="0" w:color="auto"/>
              <w:right w:val="single" w:sz="4" w:space="0" w:color="auto"/>
            </w:tcBorders>
            <w:shd w:val="clear" w:color="auto" w:fill="auto"/>
            <w:noWrap/>
            <w:vAlign w:val="center"/>
            <w:hideMark/>
          </w:tcPr>
          <w:p w14:paraId="11E3F39C" w14:textId="709BF4D1"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1,500.00</w:t>
            </w:r>
          </w:p>
        </w:tc>
        <w:tc>
          <w:tcPr>
            <w:tcW w:w="467" w:type="pct"/>
            <w:tcBorders>
              <w:top w:val="nil"/>
              <w:left w:val="nil"/>
              <w:bottom w:val="single" w:sz="4" w:space="0" w:color="auto"/>
              <w:right w:val="single" w:sz="4" w:space="0" w:color="auto"/>
            </w:tcBorders>
            <w:shd w:val="clear" w:color="auto" w:fill="auto"/>
            <w:noWrap/>
            <w:vAlign w:val="center"/>
            <w:hideMark/>
          </w:tcPr>
          <w:p w14:paraId="71055A52" w14:textId="24228D73" w:rsidR="008C18EB" w:rsidRPr="004B465C" w:rsidRDefault="008C18EB"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1,500.00</w:t>
            </w:r>
          </w:p>
        </w:tc>
      </w:tr>
    </w:tbl>
    <w:p w14:paraId="5A8F7F18" w14:textId="36E8B4E3" w:rsidR="00A263CB" w:rsidRDefault="00A263CB">
      <w:pPr>
        <w:ind w:right="105"/>
        <w:jc w:val="right"/>
        <w:rPr>
          <w:rFonts w:ascii="Verdana" w:eastAsia="华文细黑" w:hAnsi="Verdana" w:cs="Calibri"/>
          <w:sz w:val="20"/>
          <w:szCs w:val="20"/>
        </w:rPr>
      </w:pPr>
    </w:p>
    <w:p w14:paraId="666CF874" w14:textId="77777777" w:rsidR="008C18EB" w:rsidRPr="007072FB" w:rsidRDefault="008C18EB">
      <w:pPr>
        <w:ind w:right="105"/>
        <w:jc w:val="right"/>
        <w:rPr>
          <w:rFonts w:ascii="Verdana" w:eastAsia="华文细黑" w:hAnsi="Verdana" w:cs="Calibri"/>
          <w:sz w:val="20"/>
          <w:szCs w:val="20"/>
        </w:rPr>
      </w:pPr>
    </w:p>
    <w:p w14:paraId="0E1F6707" w14:textId="22A9A15B" w:rsidR="00C13813" w:rsidRPr="007072FB" w:rsidRDefault="00C13813" w:rsidP="00C13813">
      <w:pPr>
        <w:spacing w:after="160" w:line="259" w:lineRule="auto"/>
        <w:jc w:val="center"/>
        <w:rPr>
          <w:rFonts w:ascii="Verdana" w:eastAsia="华文细黑" w:hAnsi="Verdana" w:cs="Calibri"/>
          <w:b/>
        </w:rPr>
      </w:pPr>
      <w:r w:rsidRPr="007072FB">
        <w:rPr>
          <w:rFonts w:ascii="Verdana" w:eastAsia="华文细黑" w:hAnsi="Verdana" w:cs="Calibri"/>
          <w:b/>
        </w:rPr>
        <w:t>表</w:t>
      </w:r>
      <w:r w:rsidR="00913C47">
        <w:rPr>
          <w:rFonts w:ascii="Verdana" w:eastAsia="华文细黑" w:hAnsi="Verdana" w:cs="Calibri" w:hint="eastAsia"/>
          <w:b/>
        </w:rPr>
        <w:t>4</w:t>
      </w:r>
      <w:r w:rsidRPr="007072FB">
        <w:rPr>
          <w:rFonts w:ascii="Verdana" w:eastAsia="华文细黑" w:hAnsi="Verdana" w:cs="Calibri"/>
          <w:b/>
        </w:rPr>
        <w:t>-2</w:t>
      </w:r>
      <w:r w:rsidRPr="007072FB">
        <w:rPr>
          <w:rFonts w:ascii="Verdana" w:eastAsia="华文细黑" w:hAnsi="Verdana" w:cs="Calibri"/>
          <w:b/>
        </w:rPr>
        <w:t>本期调增债券还本付息表</w:t>
      </w:r>
      <w:r w:rsidR="001E064A">
        <w:rPr>
          <w:rFonts w:ascii="Verdana" w:eastAsia="华文细黑" w:hAnsi="Verdana" w:cs="Calibri" w:hint="eastAsia"/>
          <w:b/>
        </w:rPr>
        <w:t>（续表）</w:t>
      </w:r>
    </w:p>
    <w:p w14:paraId="114D3729" w14:textId="77777777" w:rsidR="001E064A" w:rsidRDefault="00C13813" w:rsidP="00C13813">
      <w:pPr>
        <w:ind w:right="105"/>
        <w:jc w:val="right"/>
        <w:rPr>
          <w:rFonts w:ascii="Verdana" w:eastAsia="华文细黑" w:hAnsi="Verdana" w:cs="Calibri"/>
          <w:sz w:val="20"/>
          <w:szCs w:val="20"/>
        </w:rPr>
      </w:pPr>
      <w:r w:rsidRPr="007072FB">
        <w:rPr>
          <w:rFonts w:ascii="Verdana" w:eastAsia="华文细黑" w:hAnsi="Verdana" w:cs="Calibri"/>
          <w:sz w:val="20"/>
          <w:szCs w:val="20"/>
        </w:rPr>
        <w:t>单位：人民币万元</w:t>
      </w:r>
    </w:p>
    <w:tbl>
      <w:tblPr>
        <w:tblW w:w="5000" w:type="pct"/>
        <w:tblLook w:val="04A0" w:firstRow="1" w:lastRow="0" w:firstColumn="1" w:lastColumn="0" w:noHBand="0" w:noVBand="1"/>
      </w:tblPr>
      <w:tblGrid>
        <w:gridCol w:w="2548"/>
        <w:gridCol w:w="1342"/>
        <w:gridCol w:w="1342"/>
        <w:gridCol w:w="1341"/>
        <w:gridCol w:w="1341"/>
        <w:gridCol w:w="1341"/>
        <w:gridCol w:w="1341"/>
        <w:gridCol w:w="1341"/>
        <w:gridCol w:w="1341"/>
      </w:tblGrid>
      <w:tr w:rsidR="003575AC" w:rsidRPr="001E064A" w14:paraId="36AB4571" w14:textId="77777777" w:rsidTr="003575AC">
        <w:trPr>
          <w:trHeight w:val="312"/>
        </w:trPr>
        <w:tc>
          <w:tcPr>
            <w:tcW w:w="959" w:type="pct"/>
            <w:tcBorders>
              <w:top w:val="single" w:sz="4" w:space="0" w:color="auto"/>
              <w:left w:val="single" w:sz="4" w:space="0" w:color="auto"/>
              <w:bottom w:val="single" w:sz="4" w:space="0" w:color="auto"/>
              <w:right w:val="single" w:sz="4" w:space="0" w:color="auto"/>
            </w:tcBorders>
            <w:shd w:val="clear" w:color="000000" w:fill="0070C0"/>
            <w:noWrap/>
            <w:vAlign w:val="center"/>
            <w:hideMark/>
          </w:tcPr>
          <w:p w14:paraId="5A49D012" w14:textId="77777777" w:rsidR="001E064A" w:rsidRPr="004B465C" w:rsidRDefault="001E064A" w:rsidP="001E064A">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hint="eastAsia"/>
                <w:b/>
                <w:bCs/>
                <w:color w:val="FFFFFF"/>
                <w:sz w:val="20"/>
                <w:szCs w:val="20"/>
              </w:rPr>
              <w:t>年度</w:t>
            </w:r>
          </w:p>
        </w:tc>
        <w:tc>
          <w:tcPr>
            <w:tcW w:w="505" w:type="pct"/>
            <w:tcBorders>
              <w:top w:val="single" w:sz="4" w:space="0" w:color="auto"/>
              <w:left w:val="nil"/>
              <w:bottom w:val="single" w:sz="4" w:space="0" w:color="auto"/>
              <w:right w:val="single" w:sz="4" w:space="0" w:color="auto"/>
            </w:tcBorders>
            <w:shd w:val="clear" w:color="000000" w:fill="0070C0"/>
            <w:noWrap/>
            <w:vAlign w:val="center"/>
            <w:hideMark/>
          </w:tcPr>
          <w:p w14:paraId="5CC03ADF" w14:textId="77777777" w:rsidR="001E064A" w:rsidRPr="004B465C" w:rsidRDefault="001E064A" w:rsidP="001E064A">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2033</w:t>
            </w:r>
          </w:p>
        </w:tc>
        <w:tc>
          <w:tcPr>
            <w:tcW w:w="505" w:type="pct"/>
            <w:tcBorders>
              <w:top w:val="single" w:sz="4" w:space="0" w:color="auto"/>
              <w:left w:val="nil"/>
              <w:bottom w:val="single" w:sz="4" w:space="0" w:color="auto"/>
              <w:right w:val="single" w:sz="4" w:space="0" w:color="auto"/>
            </w:tcBorders>
            <w:shd w:val="clear" w:color="000000" w:fill="0070C0"/>
            <w:noWrap/>
            <w:vAlign w:val="center"/>
            <w:hideMark/>
          </w:tcPr>
          <w:p w14:paraId="559F7246" w14:textId="77777777" w:rsidR="001E064A" w:rsidRPr="004B465C" w:rsidRDefault="001E064A" w:rsidP="001E064A">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2034</w:t>
            </w:r>
          </w:p>
        </w:tc>
        <w:tc>
          <w:tcPr>
            <w:tcW w:w="505" w:type="pct"/>
            <w:tcBorders>
              <w:top w:val="single" w:sz="4" w:space="0" w:color="auto"/>
              <w:left w:val="nil"/>
              <w:bottom w:val="single" w:sz="4" w:space="0" w:color="auto"/>
              <w:right w:val="single" w:sz="4" w:space="0" w:color="auto"/>
            </w:tcBorders>
            <w:shd w:val="clear" w:color="000000" w:fill="0070C0"/>
            <w:noWrap/>
            <w:vAlign w:val="center"/>
            <w:hideMark/>
          </w:tcPr>
          <w:p w14:paraId="60EFCB88" w14:textId="77777777" w:rsidR="001E064A" w:rsidRPr="004B465C" w:rsidRDefault="001E064A" w:rsidP="001E064A">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2035</w:t>
            </w:r>
          </w:p>
        </w:tc>
        <w:tc>
          <w:tcPr>
            <w:tcW w:w="505" w:type="pct"/>
            <w:tcBorders>
              <w:top w:val="single" w:sz="4" w:space="0" w:color="auto"/>
              <w:left w:val="nil"/>
              <w:bottom w:val="single" w:sz="4" w:space="0" w:color="auto"/>
              <w:right w:val="single" w:sz="4" w:space="0" w:color="auto"/>
            </w:tcBorders>
            <w:shd w:val="clear" w:color="000000" w:fill="0070C0"/>
            <w:noWrap/>
            <w:vAlign w:val="center"/>
            <w:hideMark/>
          </w:tcPr>
          <w:p w14:paraId="6A601405" w14:textId="77777777" w:rsidR="001E064A" w:rsidRPr="004B465C" w:rsidRDefault="001E064A" w:rsidP="001E064A">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2036</w:t>
            </w:r>
          </w:p>
        </w:tc>
        <w:tc>
          <w:tcPr>
            <w:tcW w:w="505" w:type="pct"/>
            <w:tcBorders>
              <w:top w:val="single" w:sz="4" w:space="0" w:color="auto"/>
              <w:left w:val="nil"/>
              <w:bottom w:val="single" w:sz="4" w:space="0" w:color="auto"/>
              <w:right w:val="single" w:sz="4" w:space="0" w:color="auto"/>
            </w:tcBorders>
            <w:shd w:val="clear" w:color="000000" w:fill="0070C0"/>
            <w:noWrap/>
            <w:vAlign w:val="center"/>
            <w:hideMark/>
          </w:tcPr>
          <w:p w14:paraId="02ECE813" w14:textId="77777777" w:rsidR="001E064A" w:rsidRPr="004B465C" w:rsidRDefault="001E064A" w:rsidP="001E064A">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2037</w:t>
            </w:r>
          </w:p>
        </w:tc>
        <w:tc>
          <w:tcPr>
            <w:tcW w:w="505" w:type="pct"/>
            <w:tcBorders>
              <w:top w:val="single" w:sz="4" w:space="0" w:color="auto"/>
              <w:left w:val="nil"/>
              <w:bottom w:val="single" w:sz="4" w:space="0" w:color="auto"/>
              <w:right w:val="single" w:sz="4" w:space="0" w:color="auto"/>
            </w:tcBorders>
            <w:shd w:val="clear" w:color="000000" w:fill="0070C0"/>
            <w:noWrap/>
            <w:vAlign w:val="center"/>
            <w:hideMark/>
          </w:tcPr>
          <w:p w14:paraId="558FD5BA" w14:textId="77777777" w:rsidR="001E064A" w:rsidRPr="004B465C" w:rsidRDefault="001E064A" w:rsidP="001E064A">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2038</w:t>
            </w:r>
          </w:p>
        </w:tc>
        <w:tc>
          <w:tcPr>
            <w:tcW w:w="505" w:type="pct"/>
            <w:tcBorders>
              <w:top w:val="single" w:sz="4" w:space="0" w:color="auto"/>
              <w:left w:val="nil"/>
              <w:bottom w:val="single" w:sz="4" w:space="0" w:color="auto"/>
              <w:right w:val="single" w:sz="4" w:space="0" w:color="auto"/>
            </w:tcBorders>
            <w:shd w:val="clear" w:color="000000" w:fill="0070C0"/>
            <w:noWrap/>
            <w:vAlign w:val="center"/>
            <w:hideMark/>
          </w:tcPr>
          <w:p w14:paraId="0A071C97" w14:textId="77777777" w:rsidR="001E064A" w:rsidRPr="004B465C" w:rsidRDefault="001E064A" w:rsidP="001E064A">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2039</w:t>
            </w:r>
          </w:p>
        </w:tc>
        <w:tc>
          <w:tcPr>
            <w:tcW w:w="505" w:type="pct"/>
            <w:tcBorders>
              <w:top w:val="single" w:sz="4" w:space="0" w:color="auto"/>
              <w:left w:val="nil"/>
              <w:bottom w:val="single" w:sz="4" w:space="0" w:color="auto"/>
              <w:right w:val="single" w:sz="4" w:space="0" w:color="auto"/>
            </w:tcBorders>
            <w:shd w:val="clear" w:color="000000" w:fill="0070C0"/>
            <w:noWrap/>
            <w:vAlign w:val="center"/>
            <w:hideMark/>
          </w:tcPr>
          <w:p w14:paraId="4DE07312" w14:textId="77777777" w:rsidR="001E064A" w:rsidRPr="004B465C" w:rsidRDefault="001E064A" w:rsidP="001E064A">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hint="eastAsia"/>
                <w:b/>
                <w:bCs/>
                <w:color w:val="FFFFFF"/>
                <w:sz w:val="20"/>
                <w:szCs w:val="20"/>
              </w:rPr>
              <w:t>合计</w:t>
            </w:r>
          </w:p>
        </w:tc>
      </w:tr>
      <w:tr w:rsidR="001E064A" w:rsidRPr="001E064A" w14:paraId="49A335AF" w14:textId="77777777" w:rsidTr="004B465C">
        <w:trPr>
          <w:trHeight w:val="312"/>
        </w:trPr>
        <w:tc>
          <w:tcPr>
            <w:tcW w:w="959" w:type="pct"/>
            <w:tcBorders>
              <w:top w:val="nil"/>
              <w:left w:val="single" w:sz="4" w:space="0" w:color="auto"/>
              <w:bottom w:val="single" w:sz="4" w:space="0" w:color="auto"/>
              <w:right w:val="single" w:sz="4" w:space="0" w:color="auto"/>
            </w:tcBorders>
            <w:shd w:val="clear" w:color="auto" w:fill="auto"/>
            <w:noWrap/>
            <w:vAlign w:val="center"/>
            <w:hideMark/>
          </w:tcPr>
          <w:p w14:paraId="6393D9F6" w14:textId="77777777" w:rsidR="001E064A" w:rsidRPr="004B465C" w:rsidRDefault="001E064A" w:rsidP="004B465C">
            <w:pPr>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期初专项债券余额</w:t>
            </w:r>
          </w:p>
        </w:tc>
        <w:tc>
          <w:tcPr>
            <w:tcW w:w="505" w:type="pct"/>
            <w:tcBorders>
              <w:top w:val="nil"/>
              <w:left w:val="nil"/>
              <w:bottom w:val="single" w:sz="4" w:space="0" w:color="auto"/>
              <w:right w:val="single" w:sz="4" w:space="0" w:color="auto"/>
            </w:tcBorders>
            <w:shd w:val="clear" w:color="auto" w:fill="auto"/>
            <w:noWrap/>
            <w:vAlign w:val="center"/>
            <w:hideMark/>
          </w:tcPr>
          <w:p w14:paraId="3A1DB15F" w14:textId="2CC9D707"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1,500.00</w:t>
            </w:r>
          </w:p>
        </w:tc>
        <w:tc>
          <w:tcPr>
            <w:tcW w:w="505" w:type="pct"/>
            <w:tcBorders>
              <w:top w:val="nil"/>
              <w:left w:val="nil"/>
              <w:bottom w:val="single" w:sz="4" w:space="0" w:color="auto"/>
              <w:right w:val="single" w:sz="4" w:space="0" w:color="auto"/>
            </w:tcBorders>
            <w:shd w:val="clear" w:color="auto" w:fill="auto"/>
            <w:noWrap/>
            <w:vAlign w:val="center"/>
            <w:hideMark/>
          </w:tcPr>
          <w:p w14:paraId="202A5EC8" w14:textId="132564F2"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1,500.00</w:t>
            </w:r>
          </w:p>
        </w:tc>
        <w:tc>
          <w:tcPr>
            <w:tcW w:w="505" w:type="pct"/>
            <w:tcBorders>
              <w:top w:val="nil"/>
              <w:left w:val="nil"/>
              <w:bottom w:val="single" w:sz="4" w:space="0" w:color="auto"/>
              <w:right w:val="single" w:sz="4" w:space="0" w:color="auto"/>
            </w:tcBorders>
            <w:shd w:val="clear" w:color="auto" w:fill="auto"/>
            <w:noWrap/>
            <w:vAlign w:val="center"/>
            <w:hideMark/>
          </w:tcPr>
          <w:p w14:paraId="1482ED42" w14:textId="005D25E4"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500.00</w:t>
            </w:r>
          </w:p>
        </w:tc>
        <w:tc>
          <w:tcPr>
            <w:tcW w:w="505" w:type="pct"/>
            <w:tcBorders>
              <w:top w:val="nil"/>
              <w:left w:val="nil"/>
              <w:bottom w:val="single" w:sz="4" w:space="0" w:color="auto"/>
              <w:right w:val="single" w:sz="4" w:space="0" w:color="auto"/>
            </w:tcBorders>
            <w:shd w:val="clear" w:color="auto" w:fill="auto"/>
            <w:noWrap/>
            <w:vAlign w:val="center"/>
            <w:hideMark/>
          </w:tcPr>
          <w:p w14:paraId="7DD4C534" w14:textId="18FC0FB6"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500.00</w:t>
            </w:r>
          </w:p>
        </w:tc>
        <w:tc>
          <w:tcPr>
            <w:tcW w:w="505" w:type="pct"/>
            <w:tcBorders>
              <w:top w:val="nil"/>
              <w:left w:val="nil"/>
              <w:bottom w:val="single" w:sz="4" w:space="0" w:color="auto"/>
              <w:right w:val="single" w:sz="4" w:space="0" w:color="auto"/>
            </w:tcBorders>
            <w:shd w:val="clear" w:color="auto" w:fill="auto"/>
            <w:noWrap/>
            <w:vAlign w:val="center"/>
            <w:hideMark/>
          </w:tcPr>
          <w:p w14:paraId="669E5FFD" w14:textId="4D5CBFA3"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500.00</w:t>
            </w:r>
          </w:p>
        </w:tc>
        <w:tc>
          <w:tcPr>
            <w:tcW w:w="505" w:type="pct"/>
            <w:tcBorders>
              <w:top w:val="nil"/>
              <w:left w:val="nil"/>
              <w:bottom w:val="single" w:sz="4" w:space="0" w:color="auto"/>
              <w:right w:val="single" w:sz="4" w:space="0" w:color="auto"/>
            </w:tcBorders>
            <w:shd w:val="clear" w:color="auto" w:fill="auto"/>
            <w:noWrap/>
            <w:vAlign w:val="center"/>
            <w:hideMark/>
          </w:tcPr>
          <w:p w14:paraId="64D54FBD" w14:textId="3AF77248"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500.00</w:t>
            </w:r>
          </w:p>
        </w:tc>
        <w:tc>
          <w:tcPr>
            <w:tcW w:w="505" w:type="pct"/>
            <w:tcBorders>
              <w:top w:val="nil"/>
              <w:left w:val="nil"/>
              <w:bottom w:val="single" w:sz="4" w:space="0" w:color="auto"/>
              <w:right w:val="single" w:sz="4" w:space="0" w:color="auto"/>
            </w:tcBorders>
            <w:shd w:val="clear" w:color="auto" w:fill="auto"/>
            <w:noWrap/>
            <w:vAlign w:val="center"/>
            <w:hideMark/>
          </w:tcPr>
          <w:p w14:paraId="6660F5E7" w14:textId="7AE16A2C"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500.00</w:t>
            </w:r>
          </w:p>
        </w:tc>
        <w:tc>
          <w:tcPr>
            <w:tcW w:w="505" w:type="pct"/>
            <w:tcBorders>
              <w:top w:val="nil"/>
              <w:left w:val="nil"/>
              <w:bottom w:val="single" w:sz="4" w:space="0" w:color="auto"/>
              <w:right w:val="single" w:sz="4" w:space="0" w:color="auto"/>
            </w:tcBorders>
            <w:shd w:val="clear" w:color="auto" w:fill="auto"/>
            <w:noWrap/>
            <w:vAlign w:val="center"/>
            <w:hideMark/>
          </w:tcPr>
          <w:p w14:paraId="30C67C81" w14:textId="34B317A4" w:rsidR="001E064A" w:rsidRPr="004B465C" w:rsidRDefault="001E064A" w:rsidP="004B465C">
            <w:pPr>
              <w:jc w:val="right"/>
              <w:rPr>
                <w:rFonts w:asciiTheme="minorHAnsi" w:eastAsia="华文细黑" w:hAnsiTheme="minorHAnsi" w:cs="宋体"/>
                <w:b/>
                <w:bCs/>
                <w:color w:val="000000"/>
                <w:sz w:val="20"/>
                <w:szCs w:val="20"/>
              </w:rPr>
            </w:pPr>
          </w:p>
        </w:tc>
      </w:tr>
      <w:tr w:rsidR="001E064A" w:rsidRPr="001E064A" w14:paraId="45BEEF41" w14:textId="77777777" w:rsidTr="004B465C">
        <w:trPr>
          <w:trHeight w:val="312"/>
        </w:trPr>
        <w:tc>
          <w:tcPr>
            <w:tcW w:w="959" w:type="pct"/>
            <w:tcBorders>
              <w:top w:val="nil"/>
              <w:left w:val="single" w:sz="4" w:space="0" w:color="auto"/>
              <w:bottom w:val="single" w:sz="4" w:space="0" w:color="auto"/>
              <w:right w:val="single" w:sz="4" w:space="0" w:color="auto"/>
            </w:tcBorders>
            <w:shd w:val="clear" w:color="auto" w:fill="auto"/>
            <w:noWrap/>
            <w:vAlign w:val="center"/>
            <w:hideMark/>
          </w:tcPr>
          <w:p w14:paraId="154F45BB" w14:textId="0BDD1EC6" w:rsidR="001E064A" w:rsidRPr="004B465C" w:rsidRDefault="001E064A" w:rsidP="004B465C">
            <w:pPr>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专项债券发行</w:t>
            </w:r>
          </w:p>
        </w:tc>
        <w:tc>
          <w:tcPr>
            <w:tcW w:w="505" w:type="pct"/>
            <w:tcBorders>
              <w:top w:val="nil"/>
              <w:left w:val="nil"/>
              <w:bottom w:val="single" w:sz="4" w:space="0" w:color="auto"/>
              <w:right w:val="single" w:sz="4" w:space="0" w:color="auto"/>
            </w:tcBorders>
            <w:shd w:val="clear" w:color="auto" w:fill="auto"/>
            <w:noWrap/>
            <w:vAlign w:val="center"/>
            <w:hideMark/>
          </w:tcPr>
          <w:p w14:paraId="1D32D188" w14:textId="45425C26"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505" w:type="pct"/>
            <w:tcBorders>
              <w:top w:val="nil"/>
              <w:left w:val="nil"/>
              <w:bottom w:val="single" w:sz="4" w:space="0" w:color="auto"/>
              <w:right w:val="single" w:sz="4" w:space="0" w:color="auto"/>
            </w:tcBorders>
            <w:shd w:val="clear" w:color="auto" w:fill="auto"/>
            <w:noWrap/>
            <w:vAlign w:val="center"/>
            <w:hideMark/>
          </w:tcPr>
          <w:p w14:paraId="419D0388" w14:textId="3605B58B"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505" w:type="pct"/>
            <w:tcBorders>
              <w:top w:val="nil"/>
              <w:left w:val="nil"/>
              <w:bottom w:val="single" w:sz="4" w:space="0" w:color="auto"/>
              <w:right w:val="single" w:sz="4" w:space="0" w:color="auto"/>
            </w:tcBorders>
            <w:shd w:val="clear" w:color="auto" w:fill="auto"/>
            <w:noWrap/>
            <w:vAlign w:val="center"/>
            <w:hideMark/>
          </w:tcPr>
          <w:p w14:paraId="3F9D49EE" w14:textId="212C5497"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505" w:type="pct"/>
            <w:tcBorders>
              <w:top w:val="nil"/>
              <w:left w:val="nil"/>
              <w:bottom w:val="single" w:sz="4" w:space="0" w:color="auto"/>
              <w:right w:val="single" w:sz="4" w:space="0" w:color="auto"/>
            </w:tcBorders>
            <w:shd w:val="clear" w:color="auto" w:fill="auto"/>
            <w:noWrap/>
            <w:vAlign w:val="center"/>
            <w:hideMark/>
          </w:tcPr>
          <w:p w14:paraId="1029FAEB" w14:textId="2A2FE469"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505" w:type="pct"/>
            <w:tcBorders>
              <w:top w:val="nil"/>
              <w:left w:val="nil"/>
              <w:bottom w:val="single" w:sz="4" w:space="0" w:color="auto"/>
              <w:right w:val="single" w:sz="4" w:space="0" w:color="auto"/>
            </w:tcBorders>
            <w:shd w:val="clear" w:color="auto" w:fill="auto"/>
            <w:noWrap/>
            <w:vAlign w:val="center"/>
            <w:hideMark/>
          </w:tcPr>
          <w:p w14:paraId="358BB97A" w14:textId="477E92CA"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505" w:type="pct"/>
            <w:tcBorders>
              <w:top w:val="nil"/>
              <w:left w:val="nil"/>
              <w:bottom w:val="single" w:sz="4" w:space="0" w:color="auto"/>
              <w:right w:val="single" w:sz="4" w:space="0" w:color="auto"/>
            </w:tcBorders>
            <w:shd w:val="clear" w:color="auto" w:fill="auto"/>
            <w:noWrap/>
            <w:vAlign w:val="center"/>
            <w:hideMark/>
          </w:tcPr>
          <w:p w14:paraId="4C574853" w14:textId="64CEA6FF"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505" w:type="pct"/>
            <w:tcBorders>
              <w:top w:val="nil"/>
              <w:left w:val="nil"/>
              <w:bottom w:val="single" w:sz="4" w:space="0" w:color="auto"/>
              <w:right w:val="single" w:sz="4" w:space="0" w:color="auto"/>
            </w:tcBorders>
            <w:shd w:val="clear" w:color="auto" w:fill="auto"/>
            <w:noWrap/>
            <w:vAlign w:val="center"/>
            <w:hideMark/>
          </w:tcPr>
          <w:p w14:paraId="4B7E6B2C" w14:textId="22477B14"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505" w:type="pct"/>
            <w:tcBorders>
              <w:top w:val="nil"/>
              <w:left w:val="nil"/>
              <w:bottom w:val="single" w:sz="4" w:space="0" w:color="auto"/>
              <w:right w:val="single" w:sz="4" w:space="0" w:color="auto"/>
            </w:tcBorders>
            <w:shd w:val="clear" w:color="auto" w:fill="auto"/>
            <w:noWrap/>
            <w:vAlign w:val="center"/>
            <w:hideMark/>
          </w:tcPr>
          <w:p w14:paraId="4BE25AB7" w14:textId="3E6D4BB0" w:rsidR="001E064A" w:rsidRPr="004B465C" w:rsidRDefault="001E064A" w:rsidP="004B465C">
            <w:pPr>
              <w:jc w:val="right"/>
              <w:rPr>
                <w:rFonts w:asciiTheme="minorHAnsi" w:eastAsia="华文细黑" w:hAnsiTheme="minorHAnsi" w:cs="宋体"/>
                <w:b/>
                <w:bCs/>
                <w:color w:val="000000"/>
                <w:sz w:val="20"/>
                <w:szCs w:val="20"/>
              </w:rPr>
            </w:pPr>
            <w:r w:rsidRPr="004B465C">
              <w:rPr>
                <w:rFonts w:asciiTheme="minorHAnsi" w:eastAsia="华文细黑" w:hAnsiTheme="minorHAnsi" w:cs="宋体"/>
                <w:b/>
                <w:bCs/>
                <w:color w:val="000000"/>
                <w:sz w:val="20"/>
                <w:szCs w:val="20"/>
              </w:rPr>
              <w:t>1,500.00</w:t>
            </w:r>
          </w:p>
        </w:tc>
      </w:tr>
      <w:tr w:rsidR="001E064A" w:rsidRPr="001E064A" w14:paraId="4517E8BA" w14:textId="77777777" w:rsidTr="004B465C">
        <w:trPr>
          <w:trHeight w:val="312"/>
        </w:trPr>
        <w:tc>
          <w:tcPr>
            <w:tcW w:w="959" w:type="pct"/>
            <w:tcBorders>
              <w:top w:val="nil"/>
              <w:left w:val="single" w:sz="4" w:space="0" w:color="auto"/>
              <w:bottom w:val="single" w:sz="4" w:space="0" w:color="auto"/>
              <w:right w:val="single" w:sz="4" w:space="0" w:color="auto"/>
            </w:tcBorders>
            <w:shd w:val="clear" w:color="auto" w:fill="auto"/>
            <w:noWrap/>
            <w:vAlign w:val="center"/>
            <w:hideMark/>
          </w:tcPr>
          <w:p w14:paraId="48ED631C" w14:textId="77777777" w:rsidR="001E064A" w:rsidRPr="004B465C" w:rsidRDefault="001E064A" w:rsidP="004B465C">
            <w:pPr>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利息支出</w:t>
            </w:r>
          </w:p>
        </w:tc>
        <w:tc>
          <w:tcPr>
            <w:tcW w:w="505" w:type="pct"/>
            <w:tcBorders>
              <w:top w:val="nil"/>
              <w:left w:val="nil"/>
              <w:bottom w:val="single" w:sz="4" w:space="0" w:color="auto"/>
              <w:right w:val="single" w:sz="4" w:space="0" w:color="auto"/>
            </w:tcBorders>
            <w:shd w:val="clear" w:color="auto" w:fill="auto"/>
            <w:noWrap/>
            <w:vAlign w:val="center"/>
            <w:hideMark/>
          </w:tcPr>
          <w:p w14:paraId="5600027C" w14:textId="74E3F264"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34.90</w:t>
            </w:r>
          </w:p>
        </w:tc>
        <w:tc>
          <w:tcPr>
            <w:tcW w:w="505" w:type="pct"/>
            <w:tcBorders>
              <w:top w:val="nil"/>
              <w:left w:val="nil"/>
              <w:bottom w:val="single" w:sz="4" w:space="0" w:color="auto"/>
              <w:right w:val="single" w:sz="4" w:space="0" w:color="auto"/>
            </w:tcBorders>
            <w:shd w:val="clear" w:color="auto" w:fill="auto"/>
            <w:noWrap/>
            <w:vAlign w:val="center"/>
            <w:hideMark/>
          </w:tcPr>
          <w:p w14:paraId="596C3CAA" w14:textId="3A90557F"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34.90</w:t>
            </w:r>
          </w:p>
        </w:tc>
        <w:tc>
          <w:tcPr>
            <w:tcW w:w="505" w:type="pct"/>
            <w:tcBorders>
              <w:top w:val="nil"/>
              <w:left w:val="nil"/>
              <w:bottom w:val="single" w:sz="4" w:space="0" w:color="auto"/>
              <w:right w:val="single" w:sz="4" w:space="0" w:color="auto"/>
            </w:tcBorders>
            <w:shd w:val="clear" w:color="auto" w:fill="auto"/>
            <w:noWrap/>
            <w:vAlign w:val="center"/>
            <w:hideMark/>
          </w:tcPr>
          <w:p w14:paraId="28603BFF" w14:textId="23F93CBF"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12.00</w:t>
            </w:r>
          </w:p>
        </w:tc>
        <w:tc>
          <w:tcPr>
            <w:tcW w:w="505" w:type="pct"/>
            <w:tcBorders>
              <w:top w:val="nil"/>
              <w:left w:val="nil"/>
              <w:bottom w:val="single" w:sz="4" w:space="0" w:color="auto"/>
              <w:right w:val="single" w:sz="4" w:space="0" w:color="auto"/>
            </w:tcBorders>
            <w:shd w:val="clear" w:color="auto" w:fill="auto"/>
            <w:noWrap/>
            <w:vAlign w:val="center"/>
            <w:hideMark/>
          </w:tcPr>
          <w:p w14:paraId="0EEA713E" w14:textId="23EAC153"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12.00</w:t>
            </w:r>
          </w:p>
        </w:tc>
        <w:tc>
          <w:tcPr>
            <w:tcW w:w="505" w:type="pct"/>
            <w:tcBorders>
              <w:top w:val="nil"/>
              <w:left w:val="nil"/>
              <w:bottom w:val="single" w:sz="4" w:space="0" w:color="auto"/>
              <w:right w:val="single" w:sz="4" w:space="0" w:color="auto"/>
            </w:tcBorders>
            <w:shd w:val="clear" w:color="auto" w:fill="auto"/>
            <w:noWrap/>
            <w:vAlign w:val="center"/>
            <w:hideMark/>
          </w:tcPr>
          <w:p w14:paraId="53071590" w14:textId="32D10072"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12.00</w:t>
            </w:r>
          </w:p>
        </w:tc>
        <w:tc>
          <w:tcPr>
            <w:tcW w:w="505" w:type="pct"/>
            <w:tcBorders>
              <w:top w:val="nil"/>
              <w:left w:val="nil"/>
              <w:bottom w:val="single" w:sz="4" w:space="0" w:color="auto"/>
              <w:right w:val="single" w:sz="4" w:space="0" w:color="auto"/>
            </w:tcBorders>
            <w:shd w:val="clear" w:color="auto" w:fill="auto"/>
            <w:noWrap/>
            <w:vAlign w:val="center"/>
            <w:hideMark/>
          </w:tcPr>
          <w:p w14:paraId="51D31E70" w14:textId="1559402A"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12.00</w:t>
            </w:r>
          </w:p>
        </w:tc>
        <w:tc>
          <w:tcPr>
            <w:tcW w:w="505" w:type="pct"/>
            <w:tcBorders>
              <w:top w:val="nil"/>
              <w:left w:val="nil"/>
              <w:bottom w:val="single" w:sz="4" w:space="0" w:color="auto"/>
              <w:right w:val="single" w:sz="4" w:space="0" w:color="auto"/>
            </w:tcBorders>
            <w:shd w:val="clear" w:color="auto" w:fill="auto"/>
            <w:noWrap/>
            <w:vAlign w:val="center"/>
            <w:hideMark/>
          </w:tcPr>
          <w:p w14:paraId="2B438275" w14:textId="2AC01C57"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12.00</w:t>
            </w:r>
          </w:p>
        </w:tc>
        <w:tc>
          <w:tcPr>
            <w:tcW w:w="505" w:type="pct"/>
            <w:tcBorders>
              <w:top w:val="nil"/>
              <w:left w:val="nil"/>
              <w:bottom w:val="single" w:sz="4" w:space="0" w:color="auto"/>
              <w:right w:val="single" w:sz="4" w:space="0" w:color="auto"/>
            </w:tcBorders>
            <w:shd w:val="clear" w:color="auto" w:fill="auto"/>
            <w:noWrap/>
            <w:vAlign w:val="center"/>
            <w:hideMark/>
          </w:tcPr>
          <w:p w14:paraId="57F09F30" w14:textId="12B6D13D" w:rsidR="001E064A" w:rsidRPr="004B465C" w:rsidRDefault="001E064A" w:rsidP="004B465C">
            <w:pPr>
              <w:jc w:val="right"/>
              <w:rPr>
                <w:rFonts w:asciiTheme="minorHAnsi" w:eastAsia="华文细黑" w:hAnsiTheme="minorHAnsi" w:cs="宋体"/>
                <w:b/>
                <w:bCs/>
                <w:color w:val="000000"/>
                <w:sz w:val="20"/>
                <w:szCs w:val="20"/>
              </w:rPr>
            </w:pPr>
            <w:r w:rsidRPr="004B465C">
              <w:rPr>
                <w:rFonts w:asciiTheme="minorHAnsi" w:eastAsia="华文细黑" w:hAnsiTheme="minorHAnsi" w:cs="宋体"/>
                <w:b/>
                <w:bCs/>
                <w:color w:val="000000"/>
                <w:sz w:val="20"/>
                <w:szCs w:val="20"/>
              </w:rPr>
              <w:t>409.00</w:t>
            </w:r>
          </w:p>
        </w:tc>
      </w:tr>
      <w:tr w:rsidR="001E064A" w:rsidRPr="001E064A" w14:paraId="67CC4267" w14:textId="77777777" w:rsidTr="004B465C">
        <w:trPr>
          <w:trHeight w:val="312"/>
        </w:trPr>
        <w:tc>
          <w:tcPr>
            <w:tcW w:w="959" w:type="pct"/>
            <w:tcBorders>
              <w:top w:val="nil"/>
              <w:left w:val="single" w:sz="4" w:space="0" w:color="auto"/>
              <w:bottom w:val="single" w:sz="4" w:space="0" w:color="auto"/>
              <w:right w:val="single" w:sz="4" w:space="0" w:color="auto"/>
            </w:tcBorders>
            <w:shd w:val="clear" w:color="auto" w:fill="auto"/>
            <w:noWrap/>
            <w:vAlign w:val="center"/>
            <w:hideMark/>
          </w:tcPr>
          <w:p w14:paraId="4147FDD0" w14:textId="77777777" w:rsidR="001E064A" w:rsidRPr="004B465C" w:rsidRDefault="001E064A" w:rsidP="004B465C">
            <w:pPr>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本期还款</w:t>
            </w:r>
          </w:p>
        </w:tc>
        <w:tc>
          <w:tcPr>
            <w:tcW w:w="505" w:type="pct"/>
            <w:tcBorders>
              <w:top w:val="nil"/>
              <w:left w:val="nil"/>
              <w:bottom w:val="single" w:sz="4" w:space="0" w:color="auto"/>
              <w:right w:val="single" w:sz="4" w:space="0" w:color="auto"/>
            </w:tcBorders>
            <w:shd w:val="clear" w:color="auto" w:fill="auto"/>
            <w:noWrap/>
            <w:vAlign w:val="center"/>
            <w:hideMark/>
          </w:tcPr>
          <w:p w14:paraId="01E0F107" w14:textId="4A148488"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34.90</w:t>
            </w:r>
          </w:p>
        </w:tc>
        <w:tc>
          <w:tcPr>
            <w:tcW w:w="505" w:type="pct"/>
            <w:tcBorders>
              <w:top w:val="nil"/>
              <w:left w:val="nil"/>
              <w:bottom w:val="single" w:sz="4" w:space="0" w:color="auto"/>
              <w:right w:val="single" w:sz="4" w:space="0" w:color="auto"/>
            </w:tcBorders>
            <w:shd w:val="clear" w:color="auto" w:fill="auto"/>
            <w:noWrap/>
            <w:vAlign w:val="center"/>
            <w:hideMark/>
          </w:tcPr>
          <w:p w14:paraId="2D8B5291" w14:textId="30D9314B"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1,034.90</w:t>
            </w:r>
          </w:p>
        </w:tc>
        <w:tc>
          <w:tcPr>
            <w:tcW w:w="505" w:type="pct"/>
            <w:tcBorders>
              <w:top w:val="nil"/>
              <w:left w:val="nil"/>
              <w:bottom w:val="single" w:sz="4" w:space="0" w:color="auto"/>
              <w:right w:val="single" w:sz="4" w:space="0" w:color="auto"/>
            </w:tcBorders>
            <w:shd w:val="clear" w:color="auto" w:fill="auto"/>
            <w:noWrap/>
            <w:vAlign w:val="center"/>
            <w:hideMark/>
          </w:tcPr>
          <w:p w14:paraId="54EB40EB" w14:textId="45BBB686"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12.00</w:t>
            </w:r>
          </w:p>
        </w:tc>
        <w:tc>
          <w:tcPr>
            <w:tcW w:w="505" w:type="pct"/>
            <w:tcBorders>
              <w:top w:val="nil"/>
              <w:left w:val="nil"/>
              <w:bottom w:val="single" w:sz="4" w:space="0" w:color="auto"/>
              <w:right w:val="single" w:sz="4" w:space="0" w:color="auto"/>
            </w:tcBorders>
            <w:shd w:val="clear" w:color="auto" w:fill="auto"/>
            <w:noWrap/>
            <w:vAlign w:val="center"/>
            <w:hideMark/>
          </w:tcPr>
          <w:p w14:paraId="602669B6" w14:textId="76E3963D"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12.00</w:t>
            </w:r>
          </w:p>
        </w:tc>
        <w:tc>
          <w:tcPr>
            <w:tcW w:w="505" w:type="pct"/>
            <w:tcBorders>
              <w:top w:val="nil"/>
              <w:left w:val="nil"/>
              <w:bottom w:val="single" w:sz="4" w:space="0" w:color="auto"/>
              <w:right w:val="single" w:sz="4" w:space="0" w:color="auto"/>
            </w:tcBorders>
            <w:shd w:val="clear" w:color="auto" w:fill="auto"/>
            <w:noWrap/>
            <w:vAlign w:val="center"/>
            <w:hideMark/>
          </w:tcPr>
          <w:p w14:paraId="3CB24C00" w14:textId="02BEC931"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12.00</w:t>
            </w:r>
          </w:p>
        </w:tc>
        <w:tc>
          <w:tcPr>
            <w:tcW w:w="505" w:type="pct"/>
            <w:tcBorders>
              <w:top w:val="nil"/>
              <w:left w:val="nil"/>
              <w:bottom w:val="single" w:sz="4" w:space="0" w:color="auto"/>
              <w:right w:val="single" w:sz="4" w:space="0" w:color="auto"/>
            </w:tcBorders>
            <w:shd w:val="clear" w:color="auto" w:fill="auto"/>
            <w:noWrap/>
            <w:vAlign w:val="center"/>
            <w:hideMark/>
          </w:tcPr>
          <w:p w14:paraId="1F1A7085" w14:textId="6212FDE8"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12.00</w:t>
            </w:r>
          </w:p>
        </w:tc>
        <w:tc>
          <w:tcPr>
            <w:tcW w:w="505" w:type="pct"/>
            <w:tcBorders>
              <w:top w:val="nil"/>
              <w:left w:val="nil"/>
              <w:bottom w:val="single" w:sz="4" w:space="0" w:color="auto"/>
              <w:right w:val="single" w:sz="4" w:space="0" w:color="auto"/>
            </w:tcBorders>
            <w:shd w:val="clear" w:color="auto" w:fill="auto"/>
            <w:noWrap/>
            <w:vAlign w:val="center"/>
            <w:hideMark/>
          </w:tcPr>
          <w:p w14:paraId="545B73F5" w14:textId="5AA246F6"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512.00</w:t>
            </w:r>
          </w:p>
        </w:tc>
        <w:tc>
          <w:tcPr>
            <w:tcW w:w="505" w:type="pct"/>
            <w:tcBorders>
              <w:top w:val="nil"/>
              <w:left w:val="nil"/>
              <w:bottom w:val="single" w:sz="4" w:space="0" w:color="auto"/>
              <w:right w:val="single" w:sz="4" w:space="0" w:color="auto"/>
            </w:tcBorders>
            <w:shd w:val="clear" w:color="auto" w:fill="auto"/>
            <w:noWrap/>
            <w:vAlign w:val="center"/>
            <w:hideMark/>
          </w:tcPr>
          <w:p w14:paraId="537C6F72" w14:textId="0E6AF3AC" w:rsidR="001E064A" w:rsidRPr="004B465C" w:rsidRDefault="001E064A" w:rsidP="004B465C">
            <w:pPr>
              <w:jc w:val="right"/>
              <w:rPr>
                <w:rFonts w:asciiTheme="minorHAnsi" w:eastAsia="华文细黑" w:hAnsiTheme="minorHAnsi" w:cs="宋体"/>
                <w:b/>
                <w:bCs/>
                <w:color w:val="000000"/>
                <w:sz w:val="20"/>
                <w:szCs w:val="20"/>
              </w:rPr>
            </w:pPr>
            <w:r w:rsidRPr="004B465C">
              <w:rPr>
                <w:rFonts w:asciiTheme="minorHAnsi" w:eastAsia="华文细黑" w:hAnsiTheme="minorHAnsi" w:cs="宋体"/>
                <w:b/>
                <w:bCs/>
                <w:color w:val="000000"/>
                <w:sz w:val="20"/>
                <w:szCs w:val="20"/>
              </w:rPr>
              <w:t>1,909.00</w:t>
            </w:r>
          </w:p>
        </w:tc>
      </w:tr>
      <w:tr w:rsidR="001E064A" w:rsidRPr="001E064A" w14:paraId="4AD9B04A" w14:textId="77777777" w:rsidTr="004B465C">
        <w:trPr>
          <w:trHeight w:val="312"/>
        </w:trPr>
        <w:tc>
          <w:tcPr>
            <w:tcW w:w="959" w:type="pct"/>
            <w:tcBorders>
              <w:top w:val="nil"/>
              <w:left w:val="single" w:sz="4" w:space="0" w:color="auto"/>
              <w:bottom w:val="single" w:sz="4" w:space="0" w:color="auto"/>
              <w:right w:val="single" w:sz="4" w:space="0" w:color="auto"/>
            </w:tcBorders>
            <w:shd w:val="clear" w:color="auto" w:fill="auto"/>
            <w:noWrap/>
            <w:vAlign w:val="center"/>
            <w:hideMark/>
          </w:tcPr>
          <w:p w14:paraId="221C4907" w14:textId="77777777" w:rsidR="001E064A" w:rsidRPr="004B465C" w:rsidRDefault="001E064A" w:rsidP="004B465C">
            <w:pPr>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其中：还本</w:t>
            </w:r>
          </w:p>
        </w:tc>
        <w:tc>
          <w:tcPr>
            <w:tcW w:w="505" w:type="pct"/>
            <w:tcBorders>
              <w:top w:val="nil"/>
              <w:left w:val="nil"/>
              <w:bottom w:val="single" w:sz="4" w:space="0" w:color="auto"/>
              <w:right w:val="single" w:sz="4" w:space="0" w:color="auto"/>
            </w:tcBorders>
            <w:shd w:val="clear" w:color="auto" w:fill="auto"/>
            <w:noWrap/>
            <w:vAlign w:val="center"/>
            <w:hideMark/>
          </w:tcPr>
          <w:p w14:paraId="322A62B1" w14:textId="4133FE0B"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505" w:type="pct"/>
            <w:tcBorders>
              <w:top w:val="nil"/>
              <w:left w:val="nil"/>
              <w:bottom w:val="single" w:sz="4" w:space="0" w:color="auto"/>
              <w:right w:val="single" w:sz="4" w:space="0" w:color="auto"/>
            </w:tcBorders>
            <w:shd w:val="clear" w:color="auto" w:fill="auto"/>
            <w:noWrap/>
            <w:vAlign w:val="center"/>
            <w:hideMark/>
          </w:tcPr>
          <w:p w14:paraId="1F18EF47" w14:textId="2978D8E3"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1,000.00</w:t>
            </w:r>
          </w:p>
        </w:tc>
        <w:tc>
          <w:tcPr>
            <w:tcW w:w="505" w:type="pct"/>
            <w:tcBorders>
              <w:top w:val="nil"/>
              <w:left w:val="nil"/>
              <w:bottom w:val="single" w:sz="4" w:space="0" w:color="auto"/>
              <w:right w:val="single" w:sz="4" w:space="0" w:color="auto"/>
            </w:tcBorders>
            <w:shd w:val="clear" w:color="auto" w:fill="auto"/>
            <w:noWrap/>
            <w:vAlign w:val="center"/>
            <w:hideMark/>
          </w:tcPr>
          <w:p w14:paraId="1AA03B81" w14:textId="5B4B069A"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505" w:type="pct"/>
            <w:tcBorders>
              <w:top w:val="nil"/>
              <w:left w:val="nil"/>
              <w:bottom w:val="single" w:sz="4" w:space="0" w:color="auto"/>
              <w:right w:val="single" w:sz="4" w:space="0" w:color="auto"/>
            </w:tcBorders>
            <w:shd w:val="clear" w:color="auto" w:fill="auto"/>
            <w:noWrap/>
            <w:vAlign w:val="center"/>
            <w:hideMark/>
          </w:tcPr>
          <w:p w14:paraId="10178CFF" w14:textId="595C8CF0"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505" w:type="pct"/>
            <w:tcBorders>
              <w:top w:val="nil"/>
              <w:left w:val="nil"/>
              <w:bottom w:val="single" w:sz="4" w:space="0" w:color="auto"/>
              <w:right w:val="single" w:sz="4" w:space="0" w:color="auto"/>
            </w:tcBorders>
            <w:shd w:val="clear" w:color="auto" w:fill="auto"/>
            <w:noWrap/>
            <w:vAlign w:val="center"/>
            <w:hideMark/>
          </w:tcPr>
          <w:p w14:paraId="7288D0E6" w14:textId="2E343BEE"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505" w:type="pct"/>
            <w:tcBorders>
              <w:top w:val="nil"/>
              <w:left w:val="nil"/>
              <w:bottom w:val="single" w:sz="4" w:space="0" w:color="auto"/>
              <w:right w:val="single" w:sz="4" w:space="0" w:color="auto"/>
            </w:tcBorders>
            <w:shd w:val="clear" w:color="auto" w:fill="auto"/>
            <w:noWrap/>
            <w:vAlign w:val="center"/>
            <w:hideMark/>
          </w:tcPr>
          <w:p w14:paraId="05C30597" w14:textId="06FC2F86"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505" w:type="pct"/>
            <w:tcBorders>
              <w:top w:val="nil"/>
              <w:left w:val="nil"/>
              <w:bottom w:val="single" w:sz="4" w:space="0" w:color="auto"/>
              <w:right w:val="single" w:sz="4" w:space="0" w:color="auto"/>
            </w:tcBorders>
            <w:shd w:val="clear" w:color="auto" w:fill="auto"/>
            <w:noWrap/>
            <w:vAlign w:val="center"/>
            <w:hideMark/>
          </w:tcPr>
          <w:p w14:paraId="25BA130D" w14:textId="10E36DBF"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500.00</w:t>
            </w:r>
          </w:p>
        </w:tc>
        <w:tc>
          <w:tcPr>
            <w:tcW w:w="505" w:type="pct"/>
            <w:tcBorders>
              <w:top w:val="nil"/>
              <w:left w:val="nil"/>
              <w:bottom w:val="single" w:sz="4" w:space="0" w:color="auto"/>
              <w:right w:val="single" w:sz="4" w:space="0" w:color="auto"/>
            </w:tcBorders>
            <w:shd w:val="clear" w:color="auto" w:fill="auto"/>
            <w:noWrap/>
            <w:vAlign w:val="center"/>
            <w:hideMark/>
          </w:tcPr>
          <w:p w14:paraId="6E799F1B" w14:textId="1B320EC2" w:rsidR="001E064A" w:rsidRPr="004B465C" w:rsidRDefault="001E064A" w:rsidP="004B465C">
            <w:pPr>
              <w:jc w:val="right"/>
              <w:rPr>
                <w:rFonts w:asciiTheme="minorHAnsi" w:eastAsia="华文细黑" w:hAnsiTheme="minorHAnsi" w:cs="宋体"/>
                <w:b/>
                <w:bCs/>
                <w:color w:val="000000"/>
                <w:sz w:val="20"/>
                <w:szCs w:val="20"/>
              </w:rPr>
            </w:pPr>
            <w:r w:rsidRPr="004B465C">
              <w:rPr>
                <w:rFonts w:asciiTheme="minorHAnsi" w:eastAsia="华文细黑" w:hAnsiTheme="minorHAnsi" w:cs="宋体"/>
                <w:b/>
                <w:bCs/>
                <w:color w:val="000000"/>
                <w:sz w:val="20"/>
                <w:szCs w:val="20"/>
              </w:rPr>
              <w:t>1,500.00</w:t>
            </w:r>
          </w:p>
        </w:tc>
      </w:tr>
      <w:tr w:rsidR="001E064A" w:rsidRPr="001E064A" w14:paraId="40840344" w14:textId="77777777" w:rsidTr="004B465C">
        <w:trPr>
          <w:trHeight w:val="312"/>
        </w:trPr>
        <w:tc>
          <w:tcPr>
            <w:tcW w:w="959" w:type="pct"/>
            <w:tcBorders>
              <w:top w:val="nil"/>
              <w:left w:val="single" w:sz="4" w:space="0" w:color="auto"/>
              <w:bottom w:val="single" w:sz="4" w:space="0" w:color="auto"/>
              <w:right w:val="single" w:sz="4" w:space="0" w:color="auto"/>
            </w:tcBorders>
            <w:shd w:val="clear" w:color="auto" w:fill="auto"/>
            <w:noWrap/>
            <w:vAlign w:val="center"/>
            <w:hideMark/>
          </w:tcPr>
          <w:p w14:paraId="1C4CECDD" w14:textId="77777777" w:rsidR="001E064A" w:rsidRPr="004B465C" w:rsidRDefault="001E064A" w:rsidP="004B465C">
            <w:pPr>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付息</w:t>
            </w:r>
          </w:p>
        </w:tc>
        <w:tc>
          <w:tcPr>
            <w:tcW w:w="505" w:type="pct"/>
            <w:tcBorders>
              <w:top w:val="nil"/>
              <w:left w:val="nil"/>
              <w:bottom w:val="single" w:sz="4" w:space="0" w:color="auto"/>
              <w:right w:val="single" w:sz="4" w:space="0" w:color="auto"/>
            </w:tcBorders>
            <w:shd w:val="clear" w:color="auto" w:fill="auto"/>
            <w:noWrap/>
            <w:vAlign w:val="center"/>
            <w:hideMark/>
          </w:tcPr>
          <w:p w14:paraId="4E2795ED" w14:textId="6EA36146"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34.90</w:t>
            </w:r>
          </w:p>
        </w:tc>
        <w:tc>
          <w:tcPr>
            <w:tcW w:w="505" w:type="pct"/>
            <w:tcBorders>
              <w:top w:val="nil"/>
              <w:left w:val="nil"/>
              <w:bottom w:val="single" w:sz="4" w:space="0" w:color="auto"/>
              <w:right w:val="single" w:sz="4" w:space="0" w:color="auto"/>
            </w:tcBorders>
            <w:shd w:val="clear" w:color="auto" w:fill="auto"/>
            <w:noWrap/>
            <w:vAlign w:val="center"/>
            <w:hideMark/>
          </w:tcPr>
          <w:p w14:paraId="5FAF956A" w14:textId="49370095"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34.90</w:t>
            </w:r>
          </w:p>
        </w:tc>
        <w:tc>
          <w:tcPr>
            <w:tcW w:w="505" w:type="pct"/>
            <w:tcBorders>
              <w:top w:val="nil"/>
              <w:left w:val="nil"/>
              <w:bottom w:val="single" w:sz="4" w:space="0" w:color="auto"/>
              <w:right w:val="single" w:sz="4" w:space="0" w:color="auto"/>
            </w:tcBorders>
            <w:shd w:val="clear" w:color="auto" w:fill="auto"/>
            <w:noWrap/>
            <w:vAlign w:val="center"/>
            <w:hideMark/>
          </w:tcPr>
          <w:p w14:paraId="6E03E80F" w14:textId="4951982F"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12.00</w:t>
            </w:r>
          </w:p>
        </w:tc>
        <w:tc>
          <w:tcPr>
            <w:tcW w:w="505" w:type="pct"/>
            <w:tcBorders>
              <w:top w:val="nil"/>
              <w:left w:val="nil"/>
              <w:bottom w:val="single" w:sz="4" w:space="0" w:color="auto"/>
              <w:right w:val="single" w:sz="4" w:space="0" w:color="auto"/>
            </w:tcBorders>
            <w:shd w:val="clear" w:color="auto" w:fill="auto"/>
            <w:noWrap/>
            <w:vAlign w:val="center"/>
            <w:hideMark/>
          </w:tcPr>
          <w:p w14:paraId="26EA7E83" w14:textId="1CF71E42"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12.00</w:t>
            </w:r>
          </w:p>
        </w:tc>
        <w:tc>
          <w:tcPr>
            <w:tcW w:w="505" w:type="pct"/>
            <w:tcBorders>
              <w:top w:val="nil"/>
              <w:left w:val="nil"/>
              <w:bottom w:val="single" w:sz="4" w:space="0" w:color="auto"/>
              <w:right w:val="single" w:sz="4" w:space="0" w:color="auto"/>
            </w:tcBorders>
            <w:shd w:val="clear" w:color="auto" w:fill="auto"/>
            <w:noWrap/>
            <w:vAlign w:val="center"/>
            <w:hideMark/>
          </w:tcPr>
          <w:p w14:paraId="0D043332" w14:textId="5FE665EC"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12.00</w:t>
            </w:r>
          </w:p>
        </w:tc>
        <w:tc>
          <w:tcPr>
            <w:tcW w:w="505" w:type="pct"/>
            <w:tcBorders>
              <w:top w:val="nil"/>
              <w:left w:val="nil"/>
              <w:bottom w:val="single" w:sz="4" w:space="0" w:color="auto"/>
              <w:right w:val="single" w:sz="4" w:space="0" w:color="auto"/>
            </w:tcBorders>
            <w:shd w:val="clear" w:color="auto" w:fill="auto"/>
            <w:noWrap/>
            <w:vAlign w:val="center"/>
            <w:hideMark/>
          </w:tcPr>
          <w:p w14:paraId="752CC334" w14:textId="6321C2C1"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12.00</w:t>
            </w:r>
          </w:p>
        </w:tc>
        <w:tc>
          <w:tcPr>
            <w:tcW w:w="505" w:type="pct"/>
            <w:tcBorders>
              <w:top w:val="nil"/>
              <w:left w:val="nil"/>
              <w:bottom w:val="single" w:sz="4" w:space="0" w:color="auto"/>
              <w:right w:val="single" w:sz="4" w:space="0" w:color="auto"/>
            </w:tcBorders>
            <w:shd w:val="clear" w:color="auto" w:fill="auto"/>
            <w:noWrap/>
            <w:vAlign w:val="center"/>
            <w:hideMark/>
          </w:tcPr>
          <w:p w14:paraId="51498B04" w14:textId="2E8D8BD6"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12.00</w:t>
            </w:r>
          </w:p>
        </w:tc>
        <w:tc>
          <w:tcPr>
            <w:tcW w:w="505" w:type="pct"/>
            <w:tcBorders>
              <w:top w:val="nil"/>
              <w:left w:val="nil"/>
              <w:bottom w:val="single" w:sz="4" w:space="0" w:color="auto"/>
              <w:right w:val="single" w:sz="4" w:space="0" w:color="auto"/>
            </w:tcBorders>
            <w:shd w:val="clear" w:color="auto" w:fill="auto"/>
            <w:noWrap/>
            <w:vAlign w:val="center"/>
            <w:hideMark/>
          </w:tcPr>
          <w:p w14:paraId="0D66EC4D" w14:textId="6617D34F" w:rsidR="001E064A" w:rsidRPr="004B465C" w:rsidRDefault="001E064A" w:rsidP="004B465C">
            <w:pPr>
              <w:jc w:val="right"/>
              <w:rPr>
                <w:rFonts w:asciiTheme="minorHAnsi" w:eastAsia="华文细黑" w:hAnsiTheme="minorHAnsi" w:cs="宋体"/>
                <w:b/>
                <w:bCs/>
                <w:color w:val="000000"/>
                <w:sz w:val="20"/>
                <w:szCs w:val="20"/>
              </w:rPr>
            </w:pPr>
            <w:r w:rsidRPr="004B465C">
              <w:rPr>
                <w:rFonts w:asciiTheme="minorHAnsi" w:eastAsia="华文细黑" w:hAnsiTheme="minorHAnsi" w:cs="宋体"/>
                <w:b/>
                <w:bCs/>
                <w:color w:val="000000"/>
                <w:sz w:val="20"/>
                <w:szCs w:val="20"/>
              </w:rPr>
              <w:t>409.00</w:t>
            </w:r>
          </w:p>
        </w:tc>
      </w:tr>
      <w:tr w:rsidR="001E064A" w:rsidRPr="001E064A" w14:paraId="7FBF070C" w14:textId="77777777" w:rsidTr="004B465C">
        <w:trPr>
          <w:trHeight w:val="312"/>
        </w:trPr>
        <w:tc>
          <w:tcPr>
            <w:tcW w:w="959" w:type="pct"/>
            <w:tcBorders>
              <w:top w:val="nil"/>
              <w:left w:val="single" w:sz="4" w:space="0" w:color="auto"/>
              <w:bottom w:val="single" w:sz="4" w:space="0" w:color="auto"/>
              <w:right w:val="single" w:sz="4" w:space="0" w:color="auto"/>
            </w:tcBorders>
            <w:shd w:val="clear" w:color="auto" w:fill="auto"/>
            <w:noWrap/>
            <w:vAlign w:val="center"/>
            <w:hideMark/>
          </w:tcPr>
          <w:p w14:paraId="237E1182" w14:textId="77777777" w:rsidR="001E064A" w:rsidRPr="004B465C" w:rsidRDefault="001E064A" w:rsidP="004B465C">
            <w:pPr>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期末专项债券余额</w:t>
            </w:r>
          </w:p>
        </w:tc>
        <w:tc>
          <w:tcPr>
            <w:tcW w:w="505" w:type="pct"/>
            <w:tcBorders>
              <w:top w:val="nil"/>
              <w:left w:val="nil"/>
              <w:bottom w:val="single" w:sz="4" w:space="0" w:color="auto"/>
              <w:right w:val="single" w:sz="4" w:space="0" w:color="auto"/>
            </w:tcBorders>
            <w:shd w:val="clear" w:color="auto" w:fill="auto"/>
            <w:noWrap/>
            <w:vAlign w:val="center"/>
            <w:hideMark/>
          </w:tcPr>
          <w:p w14:paraId="36727ED8" w14:textId="4CDCD677"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1,500.00</w:t>
            </w:r>
          </w:p>
        </w:tc>
        <w:tc>
          <w:tcPr>
            <w:tcW w:w="505" w:type="pct"/>
            <w:tcBorders>
              <w:top w:val="nil"/>
              <w:left w:val="nil"/>
              <w:bottom w:val="single" w:sz="4" w:space="0" w:color="auto"/>
              <w:right w:val="single" w:sz="4" w:space="0" w:color="auto"/>
            </w:tcBorders>
            <w:shd w:val="clear" w:color="auto" w:fill="auto"/>
            <w:noWrap/>
            <w:vAlign w:val="center"/>
            <w:hideMark/>
          </w:tcPr>
          <w:p w14:paraId="6178FD68" w14:textId="0F6ECA47"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500.00</w:t>
            </w:r>
          </w:p>
        </w:tc>
        <w:tc>
          <w:tcPr>
            <w:tcW w:w="505" w:type="pct"/>
            <w:tcBorders>
              <w:top w:val="nil"/>
              <w:left w:val="nil"/>
              <w:bottom w:val="single" w:sz="4" w:space="0" w:color="auto"/>
              <w:right w:val="single" w:sz="4" w:space="0" w:color="auto"/>
            </w:tcBorders>
            <w:shd w:val="clear" w:color="auto" w:fill="auto"/>
            <w:noWrap/>
            <w:vAlign w:val="center"/>
            <w:hideMark/>
          </w:tcPr>
          <w:p w14:paraId="799E6FEB" w14:textId="07ABC87A"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500.00</w:t>
            </w:r>
          </w:p>
        </w:tc>
        <w:tc>
          <w:tcPr>
            <w:tcW w:w="505" w:type="pct"/>
            <w:tcBorders>
              <w:top w:val="nil"/>
              <w:left w:val="nil"/>
              <w:bottom w:val="single" w:sz="4" w:space="0" w:color="auto"/>
              <w:right w:val="single" w:sz="4" w:space="0" w:color="auto"/>
            </w:tcBorders>
            <w:shd w:val="clear" w:color="auto" w:fill="auto"/>
            <w:noWrap/>
            <w:vAlign w:val="center"/>
            <w:hideMark/>
          </w:tcPr>
          <w:p w14:paraId="4E389536" w14:textId="1EA9C11F"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500.00</w:t>
            </w:r>
          </w:p>
        </w:tc>
        <w:tc>
          <w:tcPr>
            <w:tcW w:w="505" w:type="pct"/>
            <w:tcBorders>
              <w:top w:val="nil"/>
              <w:left w:val="nil"/>
              <w:bottom w:val="single" w:sz="4" w:space="0" w:color="auto"/>
              <w:right w:val="single" w:sz="4" w:space="0" w:color="auto"/>
            </w:tcBorders>
            <w:shd w:val="clear" w:color="auto" w:fill="auto"/>
            <w:noWrap/>
            <w:vAlign w:val="center"/>
            <w:hideMark/>
          </w:tcPr>
          <w:p w14:paraId="6BC128C8" w14:textId="6ABE74A6"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500.00</w:t>
            </w:r>
          </w:p>
        </w:tc>
        <w:tc>
          <w:tcPr>
            <w:tcW w:w="505" w:type="pct"/>
            <w:tcBorders>
              <w:top w:val="nil"/>
              <w:left w:val="nil"/>
              <w:bottom w:val="single" w:sz="4" w:space="0" w:color="auto"/>
              <w:right w:val="single" w:sz="4" w:space="0" w:color="auto"/>
            </w:tcBorders>
            <w:shd w:val="clear" w:color="auto" w:fill="auto"/>
            <w:noWrap/>
            <w:vAlign w:val="center"/>
            <w:hideMark/>
          </w:tcPr>
          <w:p w14:paraId="6C467DA2" w14:textId="09537A53"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500.00</w:t>
            </w:r>
          </w:p>
        </w:tc>
        <w:tc>
          <w:tcPr>
            <w:tcW w:w="505" w:type="pct"/>
            <w:tcBorders>
              <w:top w:val="nil"/>
              <w:left w:val="nil"/>
              <w:bottom w:val="single" w:sz="4" w:space="0" w:color="auto"/>
              <w:right w:val="single" w:sz="4" w:space="0" w:color="auto"/>
            </w:tcBorders>
            <w:shd w:val="clear" w:color="auto" w:fill="auto"/>
            <w:noWrap/>
            <w:vAlign w:val="center"/>
            <w:hideMark/>
          </w:tcPr>
          <w:p w14:paraId="674EAF27" w14:textId="2643C81D" w:rsidR="001E064A" w:rsidRPr="004B465C" w:rsidRDefault="001E064A" w:rsidP="004B465C">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505" w:type="pct"/>
            <w:tcBorders>
              <w:top w:val="nil"/>
              <w:left w:val="nil"/>
              <w:bottom w:val="single" w:sz="4" w:space="0" w:color="auto"/>
              <w:right w:val="single" w:sz="4" w:space="0" w:color="auto"/>
            </w:tcBorders>
            <w:shd w:val="clear" w:color="auto" w:fill="auto"/>
            <w:noWrap/>
            <w:vAlign w:val="center"/>
            <w:hideMark/>
          </w:tcPr>
          <w:p w14:paraId="50A25C62" w14:textId="1160C300" w:rsidR="001E064A" w:rsidRPr="004B465C" w:rsidRDefault="001E064A" w:rsidP="004B465C">
            <w:pPr>
              <w:jc w:val="right"/>
              <w:rPr>
                <w:rFonts w:asciiTheme="minorHAnsi" w:eastAsia="华文细黑" w:hAnsiTheme="minorHAnsi" w:cs="宋体"/>
                <w:b/>
                <w:bCs/>
                <w:color w:val="000000"/>
                <w:sz w:val="20"/>
                <w:szCs w:val="20"/>
              </w:rPr>
            </w:pPr>
          </w:p>
        </w:tc>
      </w:tr>
    </w:tbl>
    <w:p w14:paraId="65C02A91" w14:textId="70FF6832" w:rsidR="00C13813" w:rsidRDefault="00C13813" w:rsidP="00C13813">
      <w:pPr>
        <w:ind w:right="105"/>
        <w:jc w:val="right"/>
        <w:rPr>
          <w:rFonts w:ascii="Verdana" w:eastAsia="华文细黑" w:hAnsi="Verdana" w:cs="Calibri"/>
          <w:sz w:val="20"/>
          <w:szCs w:val="20"/>
        </w:rPr>
      </w:pPr>
    </w:p>
    <w:p w14:paraId="0A1B12ED" w14:textId="77777777" w:rsidR="001E064A" w:rsidRPr="007072FB" w:rsidRDefault="001E064A" w:rsidP="00C13813">
      <w:pPr>
        <w:ind w:right="105"/>
        <w:jc w:val="right"/>
        <w:rPr>
          <w:rFonts w:ascii="Verdana" w:eastAsia="华文细黑" w:hAnsi="Verdana" w:cs="Calibri"/>
          <w:sz w:val="20"/>
          <w:szCs w:val="20"/>
        </w:rPr>
      </w:pPr>
    </w:p>
    <w:p w14:paraId="15EA24C5" w14:textId="2FDAC6B6" w:rsidR="000D1B9A" w:rsidRPr="007072FB" w:rsidRDefault="000D1B9A">
      <w:pPr>
        <w:spacing w:before="120" w:line="360" w:lineRule="auto"/>
        <w:jc w:val="both"/>
        <w:rPr>
          <w:rFonts w:ascii="Verdana" w:eastAsia="华文细黑" w:hAnsi="Verdana" w:cs="Calibri"/>
          <w:color w:val="000000"/>
          <w:sz w:val="20"/>
          <w:szCs w:val="20"/>
        </w:rPr>
      </w:pPr>
    </w:p>
    <w:p w14:paraId="529148EC" w14:textId="77777777" w:rsidR="000D1B9A" w:rsidRPr="007072FB" w:rsidRDefault="000D1B9A">
      <w:pPr>
        <w:rPr>
          <w:rFonts w:ascii="Verdana" w:eastAsia="华文细黑" w:hAnsi="Verdana" w:cs="Calibri"/>
        </w:rPr>
        <w:sectPr w:rsidR="000D1B9A" w:rsidRPr="007072FB">
          <w:pgSz w:w="15840" w:h="12240" w:orient="landscape"/>
          <w:pgMar w:top="1800" w:right="1276" w:bottom="1800" w:left="1276" w:header="708" w:footer="850" w:gutter="0"/>
          <w:cols w:space="708"/>
          <w:docGrid w:linePitch="360"/>
        </w:sectPr>
      </w:pPr>
    </w:p>
    <w:p w14:paraId="2AA757C8" w14:textId="77777777" w:rsidR="000D1B9A" w:rsidRPr="007072FB" w:rsidRDefault="00000000">
      <w:pPr>
        <w:spacing w:before="120" w:after="120" w:line="360" w:lineRule="auto"/>
        <w:jc w:val="both"/>
        <w:outlineLvl w:val="2"/>
        <w:rPr>
          <w:rFonts w:ascii="Verdana" w:eastAsia="华文细黑" w:hAnsi="Verdana" w:cs="Calibri"/>
          <w:b/>
          <w:color w:val="000000"/>
        </w:rPr>
      </w:pPr>
      <w:bookmarkStart w:id="71" w:name="_Toc135044148"/>
      <w:r w:rsidRPr="007072FB">
        <w:rPr>
          <w:rFonts w:ascii="Verdana" w:eastAsia="华文细黑" w:hAnsi="Verdana" w:cs="Calibri"/>
          <w:b/>
          <w:color w:val="000000"/>
        </w:rPr>
        <w:lastRenderedPageBreak/>
        <w:t>1.3</w:t>
      </w:r>
      <w:r w:rsidRPr="007072FB">
        <w:rPr>
          <w:rFonts w:ascii="Verdana" w:eastAsia="华文细黑" w:hAnsi="Verdana" w:cs="Calibri"/>
          <w:b/>
          <w:color w:val="000000"/>
        </w:rPr>
        <w:t>发</w:t>
      </w:r>
      <w:proofErr w:type="gramStart"/>
      <w:r w:rsidRPr="007072FB">
        <w:rPr>
          <w:rFonts w:ascii="Verdana" w:eastAsia="华文细黑" w:hAnsi="Verdana" w:cs="Calibri"/>
          <w:b/>
          <w:color w:val="000000"/>
        </w:rPr>
        <w:t>债项目</w:t>
      </w:r>
      <w:proofErr w:type="gramEnd"/>
      <w:r w:rsidRPr="007072FB">
        <w:rPr>
          <w:rFonts w:ascii="Verdana" w:eastAsia="华文细黑" w:hAnsi="Verdana" w:cs="Calibri"/>
          <w:b/>
          <w:color w:val="000000"/>
        </w:rPr>
        <w:t>盈利能力、偿债能力和</w:t>
      </w:r>
      <w:proofErr w:type="gramStart"/>
      <w:r w:rsidRPr="007072FB">
        <w:rPr>
          <w:rFonts w:ascii="Verdana" w:eastAsia="华文细黑" w:hAnsi="Verdana" w:cs="Calibri"/>
          <w:b/>
          <w:color w:val="000000"/>
        </w:rPr>
        <w:t>可</w:t>
      </w:r>
      <w:proofErr w:type="gramEnd"/>
      <w:r w:rsidRPr="007072FB">
        <w:rPr>
          <w:rFonts w:ascii="Verdana" w:eastAsia="华文细黑" w:hAnsi="Verdana" w:cs="Calibri"/>
          <w:b/>
          <w:color w:val="000000"/>
        </w:rPr>
        <w:t>持续性</w:t>
      </w:r>
      <w:bookmarkEnd w:id="71"/>
    </w:p>
    <w:p w14:paraId="70DF6985" w14:textId="6EEA7BC8" w:rsidR="000D1B9A" w:rsidRPr="007072FB" w:rsidRDefault="00000000">
      <w:pPr>
        <w:spacing w:before="120" w:after="120" w:line="360" w:lineRule="auto"/>
        <w:ind w:firstLine="556"/>
        <w:jc w:val="both"/>
        <w:rPr>
          <w:rFonts w:ascii="Verdana" w:eastAsia="华文细黑" w:hAnsi="Verdana" w:cs="Calibri"/>
          <w:color w:val="000000"/>
        </w:rPr>
      </w:pPr>
      <w:r w:rsidRPr="007072FB">
        <w:rPr>
          <w:rFonts w:ascii="Verdana" w:eastAsia="华文细黑" w:hAnsi="Verdana" w:cs="Calibri"/>
          <w:color w:val="000000"/>
        </w:rPr>
        <w:t>本项目累计资金筹措总额</w:t>
      </w:r>
      <w:r w:rsidR="00E15718" w:rsidRPr="00E15718">
        <w:rPr>
          <w:rFonts w:ascii="Verdana" w:eastAsia="华文细黑" w:hAnsi="Verdana" w:cs="Calibri"/>
          <w:color w:val="000000"/>
        </w:rPr>
        <w:t>122,943.74</w:t>
      </w:r>
      <w:r w:rsidRPr="007072FB">
        <w:rPr>
          <w:rFonts w:ascii="Verdana" w:eastAsia="华文细黑" w:hAnsi="Verdana" w:cs="Calibri"/>
          <w:color w:val="000000"/>
        </w:rPr>
        <w:t>万元，自筹资金</w:t>
      </w:r>
      <w:r w:rsidR="003049E9" w:rsidRPr="003049E9">
        <w:rPr>
          <w:rFonts w:ascii="Verdana" w:eastAsia="华文细黑" w:hAnsi="Verdana" w:cs="Calibri"/>
          <w:color w:val="000000"/>
        </w:rPr>
        <w:t>54,403.74</w:t>
      </w:r>
      <w:r w:rsidRPr="007072FB">
        <w:rPr>
          <w:rFonts w:ascii="Verdana" w:eastAsia="华文细黑" w:hAnsi="Verdana" w:cs="Calibri"/>
          <w:color w:val="000000"/>
        </w:rPr>
        <w:t>万元，拟申请专项债券</w:t>
      </w:r>
      <w:r w:rsidR="003049E9" w:rsidRPr="003049E9">
        <w:rPr>
          <w:rFonts w:ascii="Verdana" w:eastAsia="华文细黑" w:hAnsi="Verdana" w:cs="Calibri"/>
          <w:color w:val="000000"/>
        </w:rPr>
        <w:t>68,540.00</w:t>
      </w:r>
      <w:r w:rsidRPr="007072FB">
        <w:rPr>
          <w:rFonts w:ascii="Verdana" w:eastAsia="华文细黑" w:hAnsi="Verdana" w:cs="Calibri"/>
          <w:color w:val="000000"/>
        </w:rPr>
        <w:t>万元。前述项目的自筹资金，由政府通过</w:t>
      </w:r>
      <w:r w:rsidR="00501D69">
        <w:rPr>
          <w:rFonts w:ascii="Verdana" w:eastAsia="华文细黑" w:hAnsi="Verdana" w:cs="Calibri" w:hint="eastAsia"/>
          <w:color w:val="000000"/>
        </w:rPr>
        <w:t>自筹</w:t>
      </w:r>
      <w:r w:rsidRPr="007072FB">
        <w:rPr>
          <w:rFonts w:ascii="Verdana" w:eastAsia="华文细黑" w:hAnsi="Verdana" w:cs="Calibri"/>
          <w:color w:val="000000"/>
        </w:rPr>
        <w:t>资金统筹安排。各年度投资计划及资金筹措方案详见表</w:t>
      </w:r>
      <w:r w:rsidR="00913C47">
        <w:rPr>
          <w:rFonts w:ascii="Verdana" w:eastAsia="华文细黑" w:hAnsi="Verdana" w:cs="Calibri" w:hint="eastAsia"/>
          <w:color w:val="000000"/>
        </w:rPr>
        <w:t>5</w:t>
      </w:r>
      <w:r w:rsidRPr="007072FB">
        <w:rPr>
          <w:rFonts w:ascii="Verdana" w:eastAsia="华文细黑" w:hAnsi="Verdana" w:cs="Calibri"/>
          <w:color w:val="000000"/>
        </w:rPr>
        <w:t>，项目现金流平衡表详见表</w:t>
      </w:r>
      <w:r w:rsidR="00913C47">
        <w:rPr>
          <w:rFonts w:ascii="Verdana" w:eastAsia="华文细黑" w:hAnsi="Verdana" w:cs="Calibri" w:hint="eastAsia"/>
          <w:color w:val="000000"/>
        </w:rPr>
        <w:t>6</w:t>
      </w:r>
      <w:r w:rsidRPr="007072FB">
        <w:rPr>
          <w:rFonts w:ascii="Verdana" w:eastAsia="华文细黑" w:hAnsi="Verdana" w:cs="Calibri"/>
          <w:color w:val="000000"/>
        </w:rPr>
        <w:t>：</w:t>
      </w:r>
    </w:p>
    <w:p w14:paraId="45E019AA" w14:textId="349BAC81" w:rsidR="000D1B9A" w:rsidRPr="007072FB" w:rsidRDefault="00000000">
      <w:pPr>
        <w:ind w:right="-149"/>
        <w:jc w:val="center"/>
        <w:rPr>
          <w:rFonts w:ascii="Verdana" w:eastAsia="华文细黑" w:hAnsi="Verdana" w:cs="Calibri"/>
          <w:b/>
          <w:color w:val="000000"/>
        </w:rPr>
      </w:pPr>
      <w:r w:rsidRPr="00F75C21">
        <w:rPr>
          <w:rFonts w:ascii="Verdana" w:eastAsia="华文细黑" w:hAnsi="Verdana" w:cs="Calibri" w:hint="eastAsia"/>
          <w:b/>
          <w:color w:val="000000"/>
        </w:rPr>
        <w:t>表</w:t>
      </w:r>
      <w:r w:rsidR="00913C47">
        <w:rPr>
          <w:rFonts w:ascii="Verdana" w:eastAsia="华文细黑" w:hAnsi="Verdana" w:cs="Calibri" w:hint="eastAsia"/>
          <w:b/>
          <w:color w:val="000000"/>
        </w:rPr>
        <w:t>5</w:t>
      </w:r>
      <w:r w:rsidRPr="00F75C21">
        <w:rPr>
          <w:rFonts w:ascii="Verdana" w:eastAsia="华文细黑" w:hAnsi="Verdana" w:cs="Calibri" w:hint="eastAsia"/>
          <w:b/>
          <w:color w:val="000000"/>
        </w:rPr>
        <w:t>投资计划及资金筹措表</w:t>
      </w:r>
    </w:p>
    <w:p w14:paraId="209A2974" w14:textId="77777777" w:rsidR="00A63B88" w:rsidRDefault="00000000" w:rsidP="003C3C26">
      <w:pPr>
        <w:ind w:rightChars="56" w:right="134"/>
        <w:jc w:val="right"/>
        <w:rPr>
          <w:rFonts w:ascii="Verdana" w:eastAsia="华文细黑" w:hAnsi="Verdana" w:cs="Calibri"/>
          <w:color w:val="000000"/>
          <w:sz w:val="20"/>
          <w:szCs w:val="20"/>
        </w:rPr>
      </w:pPr>
      <w:r w:rsidRPr="007072FB">
        <w:rPr>
          <w:rFonts w:ascii="Verdana" w:eastAsia="华文细黑" w:hAnsi="Verdana" w:cs="Calibri"/>
          <w:color w:val="000000"/>
          <w:sz w:val="20"/>
          <w:szCs w:val="20"/>
        </w:rPr>
        <w:t>单位：人民币万元</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89"/>
        <w:gridCol w:w="2235"/>
        <w:gridCol w:w="1450"/>
        <w:gridCol w:w="1276"/>
        <w:gridCol w:w="1559"/>
      </w:tblGrid>
      <w:tr w:rsidR="00F75C21" w:rsidRPr="00A63B88" w14:paraId="35646D23" w14:textId="77777777" w:rsidTr="00F75C21">
        <w:trPr>
          <w:trHeight w:val="289"/>
          <w:jc w:val="center"/>
        </w:trPr>
        <w:tc>
          <w:tcPr>
            <w:tcW w:w="2689" w:type="dxa"/>
            <w:shd w:val="clear" w:color="auto" w:fill="0070C0"/>
            <w:noWrap/>
            <w:vAlign w:val="center"/>
            <w:hideMark/>
          </w:tcPr>
          <w:p w14:paraId="5534FCA3" w14:textId="77777777" w:rsidR="00A63B88" w:rsidRPr="0014152F" w:rsidRDefault="00A63B88" w:rsidP="00EF5C9F">
            <w:pPr>
              <w:jc w:val="center"/>
              <w:rPr>
                <w:rFonts w:ascii="Verdana" w:eastAsia="华文细黑" w:hAnsi="Verdana" w:cs="宋体"/>
                <w:b/>
                <w:bCs/>
                <w:color w:val="FFFFFF" w:themeColor="background1"/>
                <w:sz w:val="20"/>
                <w:szCs w:val="20"/>
              </w:rPr>
            </w:pPr>
            <w:r w:rsidRPr="0014152F">
              <w:rPr>
                <w:rFonts w:ascii="Verdana" w:eastAsia="华文细黑" w:hAnsi="Verdana" w:cs="宋体" w:hint="eastAsia"/>
                <w:b/>
                <w:bCs/>
                <w:color w:val="FFFFFF" w:themeColor="background1"/>
                <w:sz w:val="20"/>
                <w:szCs w:val="20"/>
              </w:rPr>
              <w:t>建设期资金平衡表</w:t>
            </w:r>
          </w:p>
        </w:tc>
        <w:tc>
          <w:tcPr>
            <w:tcW w:w="2235" w:type="dxa"/>
            <w:shd w:val="clear" w:color="auto" w:fill="0070C0"/>
            <w:noWrap/>
            <w:vAlign w:val="center"/>
            <w:hideMark/>
          </w:tcPr>
          <w:p w14:paraId="6CCCED93" w14:textId="77777777" w:rsidR="00A63B88" w:rsidRPr="0014152F" w:rsidRDefault="00A63B88" w:rsidP="00EF5C9F">
            <w:pPr>
              <w:jc w:val="center"/>
              <w:rPr>
                <w:rFonts w:ascii="Verdana" w:eastAsia="华文细黑" w:hAnsi="Verdana" w:cs="宋体"/>
                <w:b/>
                <w:bCs/>
                <w:color w:val="FFFFFF" w:themeColor="background1"/>
                <w:sz w:val="20"/>
                <w:szCs w:val="20"/>
              </w:rPr>
            </w:pPr>
            <w:r w:rsidRPr="0014152F">
              <w:rPr>
                <w:rFonts w:ascii="Verdana" w:eastAsia="华文细黑" w:hAnsi="Verdana" w:cs="宋体"/>
                <w:b/>
                <w:bCs/>
                <w:color w:val="FFFFFF" w:themeColor="background1"/>
                <w:sz w:val="20"/>
                <w:szCs w:val="20"/>
              </w:rPr>
              <w:t>2023</w:t>
            </w:r>
            <w:r w:rsidRPr="0014152F">
              <w:rPr>
                <w:rFonts w:ascii="Verdana" w:eastAsia="华文细黑" w:hAnsi="Verdana" w:cs="宋体"/>
                <w:b/>
                <w:bCs/>
                <w:color w:val="FFFFFF" w:themeColor="background1"/>
                <w:sz w:val="20"/>
                <w:szCs w:val="20"/>
              </w:rPr>
              <w:t>年及以前年度</w:t>
            </w:r>
          </w:p>
        </w:tc>
        <w:tc>
          <w:tcPr>
            <w:tcW w:w="1450" w:type="dxa"/>
            <w:shd w:val="clear" w:color="auto" w:fill="0070C0"/>
            <w:noWrap/>
            <w:vAlign w:val="center"/>
            <w:hideMark/>
          </w:tcPr>
          <w:p w14:paraId="0CC323FB" w14:textId="77777777" w:rsidR="00A63B88" w:rsidRPr="0014152F" w:rsidRDefault="00A63B88" w:rsidP="00EF5C9F">
            <w:pPr>
              <w:jc w:val="center"/>
              <w:rPr>
                <w:rFonts w:ascii="Verdana" w:eastAsia="华文细黑" w:hAnsi="Verdana" w:cs="宋体"/>
                <w:b/>
                <w:bCs/>
                <w:color w:val="FFFFFF" w:themeColor="background1"/>
                <w:sz w:val="20"/>
                <w:szCs w:val="20"/>
              </w:rPr>
            </w:pPr>
            <w:r w:rsidRPr="0014152F">
              <w:rPr>
                <w:rFonts w:ascii="Verdana" w:eastAsia="华文细黑" w:hAnsi="Verdana" w:cs="宋体"/>
                <w:b/>
                <w:bCs/>
                <w:color w:val="FFFFFF" w:themeColor="background1"/>
                <w:sz w:val="20"/>
                <w:szCs w:val="20"/>
              </w:rPr>
              <w:t>2024</w:t>
            </w:r>
          </w:p>
        </w:tc>
        <w:tc>
          <w:tcPr>
            <w:tcW w:w="1276" w:type="dxa"/>
            <w:shd w:val="clear" w:color="auto" w:fill="0070C0"/>
            <w:noWrap/>
            <w:vAlign w:val="center"/>
            <w:hideMark/>
          </w:tcPr>
          <w:p w14:paraId="35480629" w14:textId="77777777" w:rsidR="00A63B88" w:rsidRPr="0014152F" w:rsidRDefault="00A63B88" w:rsidP="00EF5C9F">
            <w:pPr>
              <w:jc w:val="center"/>
              <w:rPr>
                <w:rFonts w:ascii="Verdana" w:eastAsia="华文细黑" w:hAnsi="Verdana" w:cs="宋体"/>
                <w:b/>
                <w:bCs/>
                <w:color w:val="FFFFFF" w:themeColor="background1"/>
                <w:sz w:val="20"/>
                <w:szCs w:val="20"/>
              </w:rPr>
            </w:pPr>
            <w:r w:rsidRPr="0014152F">
              <w:rPr>
                <w:rFonts w:ascii="Verdana" w:eastAsia="华文细黑" w:hAnsi="Verdana" w:cs="宋体"/>
                <w:b/>
                <w:bCs/>
                <w:color w:val="FFFFFF" w:themeColor="background1"/>
                <w:sz w:val="20"/>
                <w:szCs w:val="20"/>
              </w:rPr>
              <w:t>2025</w:t>
            </w:r>
          </w:p>
        </w:tc>
        <w:tc>
          <w:tcPr>
            <w:tcW w:w="1559" w:type="dxa"/>
            <w:shd w:val="clear" w:color="auto" w:fill="0070C0"/>
            <w:noWrap/>
            <w:vAlign w:val="center"/>
            <w:hideMark/>
          </w:tcPr>
          <w:p w14:paraId="272132A8" w14:textId="77777777" w:rsidR="00A63B88" w:rsidRPr="0014152F" w:rsidRDefault="00A63B88" w:rsidP="00EF5C9F">
            <w:pPr>
              <w:jc w:val="center"/>
              <w:rPr>
                <w:rFonts w:ascii="Verdana" w:eastAsia="华文细黑" w:hAnsi="Verdana" w:cs="宋体"/>
                <w:b/>
                <w:bCs/>
                <w:color w:val="FFFFFF" w:themeColor="background1"/>
                <w:sz w:val="20"/>
                <w:szCs w:val="20"/>
              </w:rPr>
            </w:pPr>
            <w:r w:rsidRPr="0014152F">
              <w:rPr>
                <w:rFonts w:ascii="Verdana" w:eastAsia="华文细黑" w:hAnsi="Verdana" w:cs="宋体" w:hint="eastAsia"/>
                <w:b/>
                <w:bCs/>
                <w:color w:val="FFFFFF" w:themeColor="background1"/>
                <w:sz w:val="20"/>
                <w:szCs w:val="20"/>
              </w:rPr>
              <w:t>合计</w:t>
            </w:r>
          </w:p>
        </w:tc>
      </w:tr>
      <w:tr w:rsidR="00F75C21" w:rsidRPr="00A63B88" w14:paraId="30815F70" w14:textId="77777777" w:rsidTr="00F75C21">
        <w:trPr>
          <w:trHeight w:val="289"/>
          <w:jc w:val="center"/>
        </w:trPr>
        <w:tc>
          <w:tcPr>
            <w:tcW w:w="2689" w:type="dxa"/>
            <w:shd w:val="clear" w:color="auto" w:fill="D3DFEE"/>
            <w:noWrap/>
            <w:vAlign w:val="center"/>
            <w:hideMark/>
          </w:tcPr>
          <w:p w14:paraId="20E625D9" w14:textId="77777777" w:rsidR="00A63B88" w:rsidRPr="0014152F" w:rsidRDefault="00A63B88" w:rsidP="00EF5C9F">
            <w:pPr>
              <w:rPr>
                <w:rFonts w:ascii="Verdana" w:eastAsia="华文细黑" w:hAnsi="Verdana" w:cs="宋体"/>
                <w:b/>
                <w:bCs/>
                <w:color w:val="000000"/>
                <w:sz w:val="20"/>
                <w:szCs w:val="20"/>
              </w:rPr>
            </w:pPr>
            <w:r w:rsidRPr="0014152F">
              <w:rPr>
                <w:rFonts w:ascii="Verdana" w:eastAsia="华文细黑" w:hAnsi="Verdana" w:cs="宋体" w:hint="eastAsia"/>
                <w:b/>
                <w:bCs/>
                <w:color w:val="000000"/>
                <w:sz w:val="20"/>
                <w:szCs w:val="20"/>
              </w:rPr>
              <w:t>资金筹措</w:t>
            </w:r>
          </w:p>
        </w:tc>
        <w:tc>
          <w:tcPr>
            <w:tcW w:w="2235" w:type="dxa"/>
            <w:shd w:val="clear" w:color="auto" w:fill="D3DFEE"/>
            <w:noWrap/>
            <w:vAlign w:val="center"/>
            <w:hideMark/>
          </w:tcPr>
          <w:p w14:paraId="3846BB4B" w14:textId="77777777" w:rsidR="00A63B88" w:rsidRPr="0014152F" w:rsidRDefault="00A63B88" w:rsidP="00EF5C9F">
            <w:pPr>
              <w:jc w:val="right"/>
              <w:rPr>
                <w:rFonts w:ascii="Verdana" w:eastAsia="华文细黑" w:hAnsi="Verdana"/>
                <w:color w:val="000000"/>
                <w:sz w:val="20"/>
                <w:szCs w:val="20"/>
              </w:rPr>
            </w:pPr>
          </w:p>
        </w:tc>
        <w:tc>
          <w:tcPr>
            <w:tcW w:w="1450" w:type="dxa"/>
            <w:shd w:val="clear" w:color="auto" w:fill="D3DFEE"/>
            <w:noWrap/>
            <w:vAlign w:val="center"/>
            <w:hideMark/>
          </w:tcPr>
          <w:p w14:paraId="0C8BEE56" w14:textId="77777777" w:rsidR="00A63B88" w:rsidRPr="0014152F" w:rsidRDefault="00A63B88" w:rsidP="00EF5C9F">
            <w:pPr>
              <w:jc w:val="right"/>
              <w:rPr>
                <w:rFonts w:ascii="Verdana" w:eastAsia="华文细黑" w:hAnsi="Verdana"/>
                <w:color w:val="000000"/>
                <w:sz w:val="20"/>
                <w:szCs w:val="20"/>
              </w:rPr>
            </w:pPr>
          </w:p>
        </w:tc>
        <w:tc>
          <w:tcPr>
            <w:tcW w:w="1276" w:type="dxa"/>
            <w:shd w:val="clear" w:color="auto" w:fill="D3DFEE"/>
            <w:noWrap/>
            <w:vAlign w:val="center"/>
            <w:hideMark/>
          </w:tcPr>
          <w:p w14:paraId="6F4314A8" w14:textId="77777777" w:rsidR="00A63B88" w:rsidRPr="0014152F" w:rsidRDefault="00A63B88" w:rsidP="00EF5C9F">
            <w:pPr>
              <w:jc w:val="right"/>
              <w:rPr>
                <w:rFonts w:ascii="Verdana" w:eastAsia="华文细黑" w:hAnsi="Verdana"/>
                <w:color w:val="000000"/>
                <w:sz w:val="20"/>
                <w:szCs w:val="20"/>
              </w:rPr>
            </w:pPr>
          </w:p>
        </w:tc>
        <w:tc>
          <w:tcPr>
            <w:tcW w:w="1559" w:type="dxa"/>
            <w:shd w:val="clear" w:color="auto" w:fill="D3DFEE"/>
            <w:noWrap/>
            <w:vAlign w:val="center"/>
            <w:hideMark/>
          </w:tcPr>
          <w:p w14:paraId="7B7C72CE" w14:textId="77777777" w:rsidR="00A63B88" w:rsidRPr="0014152F" w:rsidRDefault="00A63B88" w:rsidP="00EF5C9F">
            <w:pPr>
              <w:jc w:val="right"/>
              <w:rPr>
                <w:rFonts w:ascii="Verdana" w:eastAsia="华文细黑" w:hAnsi="Verdana"/>
                <w:b/>
                <w:bCs/>
                <w:color w:val="000000"/>
                <w:sz w:val="20"/>
                <w:szCs w:val="20"/>
              </w:rPr>
            </w:pPr>
          </w:p>
        </w:tc>
      </w:tr>
      <w:tr w:rsidR="00A63B88" w:rsidRPr="00A63B88" w14:paraId="4DBADCCE" w14:textId="77777777" w:rsidTr="0014152F">
        <w:trPr>
          <w:trHeight w:val="289"/>
          <w:jc w:val="center"/>
        </w:trPr>
        <w:tc>
          <w:tcPr>
            <w:tcW w:w="2689" w:type="dxa"/>
            <w:shd w:val="clear" w:color="auto" w:fill="auto"/>
            <w:noWrap/>
            <w:vAlign w:val="center"/>
            <w:hideMark/>
          </w:tcPr>
          <w:p w14:paraId="5DAD70C3" w14:textId="77777777" w:rsidR="00A63B88" w:rsidRPr="0014152F" w:rsidRDefault="00A63B88" w:rsidP="00EF5C9F">
            <w:pPr>
              <w:rPr>
                <w:rFonts w:ascii="Verdana" w:eastAsia="华文细黑" w:hAnsi="Verdana" w:cs="宋体"/>
                <w:color w:val="000000"/>
                <w:sz w:val="20"/>
                <w:szCs w:val="20"/>
              </w:rPr>
            </w:pPr>
            <w:r w:rsidRPr="0014152F">
              <w:rPr>
                <w:rFonts w:ascii="Verdana" w:eastAsia="华文细黑" w:hAnsi="Verdana" w:cs="宋体" w:hint="eastAsia"/>
                <w:color w:val="000000"/>
                <w:sz w:val="20"/>
                <w:szCs w:val="20"/>
              </w:rPr>
              <w:t>自筹资金</w:t>
            </w:r>
          </w:p>
        </w:tc>
        <w:tc>
          <w:tcPr>
            <w:tcW w:w="2235" w:type="dxa"/>
            <w:shd w:val="clear" w:color="auto" w:fill="auto"/>
            <w:noWrap/>
            <w:vAlign w:val="center"/>
            <w:hideMark/>
          </w:tcPr>
          <w:p w14:paraId="61CBC5F9" w14:textId="0028E05E" w:rsidR="00A63B88" w:rsidRPr="0014152F" w:rsidRDefault="001B4E1E" w:rsidP="00EF5C9F">
            <w:pPr>
              <w:jc w:val="right"/>
              <w:rPr>
                <w:rFonts w:ascii="Verdana" w:eastAsia="华文细黑" w:hAnsi="Verdana" w:cs="宋体"/>
                <w:color w:val="000000"/>
                <w:sz w:val="20"/>
                <w:szCs w:val="20"/>
              </w:rPr>
            </w:pPr>
            <w:r w:rsidRPr="001B4E1E">
              <w:rPr>
                <w:rFonts w:ascii="Verdana" w:eastAsia="华文细黑" w:hAnsi="Verdana" w:cs="宋体"/>
                <w:color w:val="000000"/>
                <w:sz w:val="20"/>
                <w:szCs w:val="20"/>
              </w:rPr>
              <w:t>10,936.87</w:t>
            </w:r>
          </w:p>
        </w:tc>
        <w:tc>
          <w:tcPr>
            <w:tcW w:w="1450" w:type="dxa"/>
            <w:shd w:val="clear" w:color="auto" w:fill="auto"/>
            <w:noWrap/>
            <w:vAlign w:val="center"/>
            <w:hideMark/>
          </w:tcPr>
          <w:p w14:paraId="6176D931" w14:textId="1F43E4B7" w:rsidR="00A63B88" w:rsidRPr="0014152F" w:rsidRDefault="00563500" w:rsidP="00EF5C9F">
            <w:pPr>
              <w:jc w:val="right"/>
              <w:rPr>
                <w:rFonts w:ascii="Verdana" w:eastAsia="华文细黑" w:hAnsi="Verdana" w:cs="宋体"/>
                <w:color w:val="000000"/>
                <w:sz w:val="20"/>
                <w:szCs w:val="20"/>
              </w:rPr>
            </w:pPr>
            <w:r w:rsidRPr="00563500">
              <w:rPr>
                <w:rFonts w:ascii="Verdana" w:eastAsia="华文细黑" w:hAnsi="Verdana" w:cs="宋体"/>
                <w:color w:val="000000"/>
                <w:sz w:val="20"/>
                <w:szCs w:val="20"/>
              </w:rPr>
              <w:t>36,537.38</w:t>
            </w:r>
          </w:p>
        </w:tc>
        <w:tc>
          <w:tcPr>
            <w:tcW w:w="1276" w:type="dxa"/>
            <w:shd w:val="clear" w:color="auto" w:fill="auto"/>
            <w:noWrap/>
            <w:vAlign w:val="center"/>
            <w:hideMark/>
          </w:tcPr>
          <w:p w14:paraId="277710AF" w14:textId="0AA9F4DC" w:rsidR="00A63B88" w:rsidRPr="0014152F" w:rsidRDefault="00563500" w:rsidP="00EF5C9F">
            <w:pPr>
              <w:jc w:val="right"/>
              <w:rPr>
                <w:rFonts w:ascii="Verdana" w:eastAsia="华文细黑" w:hAnsi="Verdana" w:cs="宋体"/>
                <w:color w:val="000000"/>
                <w:sz w:val="20"/>
                <w:szCs w:val="20"/>
              </w:rPr>
            </w:pPr>
            <w:r w:rsidRPr="00563500">
              <w:rPr>
                <w:rFonts w:ascii="Verdana" w:eastAsia="华文细黑" w:hAnsi="Verdana" w:cs="宋体"/>
                <w:color w:val="000000"/>
                <w:sz w:val="20"/>
                <w:szCs w:val="20"/>
              </w:rPr>
              <w:t>6,929.49</w:t>
            </w:r>
          </w:p>
        </w:tc>
        <w:tc>
          <w:tcPr>
            <w:tcW w:w="1559" w:type="dxa"/>
            <w:shd w:val="clear" w:color="auto" w:fill="auto"/>
            <w:noWrap/>
            <w:vAlign w:val="center"/>
            <w:hideMark/>
          </w:tcPr>
          <w:p w14:paraId="1DC7C1EC" w14:textId="7ACC6533" w:rsidR="00A63B88" w:rsidRPr="0014152F" w:rsidRDefault="00393A05" w:rsidP="00EF5C9F">
            <w:pPr>
              <w:jc w:val="right"/>
              <w:rPr>
                <w:rFonts w:ascii="Verdana" w:eastAsia="华文细黑" w:hAnsi="Verdana" w:cs="宋体"/>
                <w:b/>
                <w:bCs/>
                <w:color w:val="000000"/>
                <w:sz w:val="20"/>
                <w:szCs w:val="20"/>
              </w:rPr>
            </w:pPr>
            <w:r w:rsidRPr="00393A05">
              <w:rPr>
                <w:rFonts w:ascii="Verdana" w:eastAsia="华文细黑" w:hAnsi="Verdana" w:cs="宋体"/>
                <w:b/>
                <w:bCs/>
                <w:color w:val="000000"/>
                <w:sz w:val="20"/>
                <w:szCs w:val="20"/>
              </w:rPr>
              <w:t>54,403.74</w:t>
            </w:r>
          </w:p>
        </w:tc>
      </w:tr>
      <w:tr w:rsidR="00A63B88" w:rsidRPr="00A63B88" w14:paraId="39B5B486" w14:textId="77777777" w:rsidTr="0014152F">
        <w:trPr>
          <w:trHeight w:val="289"/>
          <w:jc w:val="center"/>
        </w:trPr>
        <w:tc>
          <w:tcPr>
            <w:tcW w:w="2689" w:type="dxa"/>
            <w:shd w:val="clear" w:color="auto" w:fill="auto"/>
            <w:noWrap/>
            <w:vAlign w:val="center"/>
            <w:hideMark/>
          </w:tcPr>
          <w:p w14:paraId="7BCE77F8" w14:textId="77777777" w:rsidR="00A63B88" w:rsidRPr="0014152F" w:rsidRDefault="00A63B88" w:rsidP="00EF5C9F">
            <w:pPr>
              <w:rPr>
                <w:rFonts w:ascii="Verdana" w:eastAsia="华文细黑" w:hAnsi="Verdana" w:cs="宋体"/>
                <w:color w:val="000000"/>
                <w:sz w:val="20"/>
                <w:szCs w:val="20"/>
              </w:rPr>
            </w:pPr>
            <w:r w:rsidRPr="0014152F">
              <w:rPr>
                <w:rFonts w:ascii="Verdana" w:eastAsia="华文细黑" w:hAnsi="Verdana" w:cs="宋体" w:hint="eastAsia"/>
                <w:color w:val="000000"/>
                <w:sz w:val="20"/>
                <w:szCs w:val="20"/>
              </w:rPr>
              <w:t>债券发行</w:t>
            </w:r>
          </w:p>
        </w:tc>
        <w:tc>
          <w:tcPr>
            <w:tcW w:w="2235" w:type="dxa"/>
            <w:shd w:val="clear" w:color="auto" w:fill="auto"/>
            <w:noWrap/>
            <w:vAlign w:val="center"/>
            <w:hideMark/>
          </w:tcPr>
          <w:p w14:paraId="3ADD7209" w14:textId="0E534A6B" w:rsidR="00A63B88" w:rsidRPr="0014152F" w:rsidRDefault="001B4E1E" w:rsidP="00EF5C9F">
            <w:pPr>
              <w:jc w:val="right"/>
              <w:rPr>
                <w:rFonts w:ascii="Verdana" w:eastAsia="华文细黑" w:hAnsi="Verdana" w:cs="宋体"/>
                <w:color w:val="000000"/>
                <w:sz w:val="20"/>
                <w:szCs w:val="20"/>
              </w:rPr>
            </w:pPr>
            <w:r w:rsidRPr="001B4E1E">
              <w:rPr>
                <w:rFonts w:ascii="Verdana" w:eastAsia="华文细黑" w:hAnsi="Verdana" w:cs="宋体"/>
                <w:color w:val="000000"/>
                <w:sz w:val="20"/>
                <w:szCs w:val="20"/>
              </w:rPr>
              <w:t>65,040.00</w:t>
            </w:r>
          </w:p>
        </w:tc>
        <w:tc>
          <w:tcPr>
            <w:tcW w:w="1450" w:type="dxa"/>
            <w:shd w:val="clear" w:color="auto" w:fill="auto"/>
            <w:noWrap/>
            <w:vAlign w:val="center"/>
            <w:hideMark/>
          </w:tcPr>
          <w:p w14:paraId="5C6C905F" w14:textId="2C5AAC23" w:rsidR="00A63B88" w:rsidRPr="0014152F" w:rsidRDefault="001B4E1E" w:rsidP="00EF5C9F">
            <w:pPr>
              <w:jc w:val="right"/>
              <w:rPr>
                <w:rFonts w:ascii="Verdana" w:eastAsia="华文细黑" w:hAnsi="Verdana" w:cs="宋体"/>
                <w:color w:val="000000"/>
                <w:sz w:val="20"/>
                <w:szCs w:val="20"/>
              </w:rPr>
            </w:pPr>
            <w:r w:rsidRPr="001B4E1E">
              <w:rPr>
                <w:rFonts w:ascii="Verdana" w:eastAsia="华文细黑" w:hAnsi="Verdana" w:cs="宋体"/>
                <w:color w:val="000000"/>
                <w:sz w:val="20"/>
                <w:szCs w:val="20"/>
              </w:rPr>
              <w:t>3,500.00</w:t>
            </w:r>
          </w:p>
        </w:tc>
        <w:tc>
          <w:tcPr>
            <w:tcW w:w="1276" w:type="dxa"/>
            <w:shd w:val="clear" w:color="auto" w:fill="auto"/>
            <w:noWrap/>
            <w:vAlign w:val="center"/>
            <w:hideMark/>
          </w:tcPr>
          <w:p w14:paraId="4BEB62D4" w14:textId="77777777" w:rsidR="00A63B88" w:rsidRPr="0014152F" w:rsidRDefault="00A63B88" w:rsidP="00EF5C9F">
            <w:pPr>
              <w:jc w:val="right"/>
              <w:rPr>
                <w:rFonts w:ascii="Verdana" w:eastAsia="华文细黑" w:hAnsi="Verdana" w:cs="宋体"/>
                <w:color w:val="000000"/>
                <w:sz w:val="20"/>
                <w:szCs w:val="20"/>
              </w:rPr>
            </w:pPr>
            <w:r w:rsidRPr="0014152F">
              <w:rPr>
                <w:rFonts w:ascii="Verdana" w:eastAsia="华文细黑" w:hAnsi="Verdana" w:cs="宋体"/>
                <w:color w:val="000000"/>
                <w:sz w:val="20"/>
                <w:szCs w:val="20"/>
              </w:rPr>
              <w:t>-</w:t>
            </w:r>
          </w:p>
        </w:tc>
        <w:tc>
          <w:tcPr>
            <w:tcW w:w="1559" w:type="dxa"/>
            <w:shd w:val="clear" w:color="auto" w:fill="auto"/>
            <w:noWrap/>
            <w:vAlign w:val="center"/>
            <w:hideMark/>
          </w:tcPr>
          <w:p w14:paraId="203B4273" w14:textId="2D8A7636" w:rsidR="00A63B88" w:rsidRPr="0014152F" w:rsidRDefault="00393A05" w:rsidP="00EF5C9F">
            <w:pPr>
              <w:jc w:val="right"/>
              <w:rPr>
                <w:rFonts w:ascii="Verdana" w:eastAsia="华文细黑" w:hAnsi="Verdana" w:cs="宋体"/>
                <w:b/>
                <w:bCs/>
                <w:color w:val="000000"/>
                <w:sz w:val="20"/>
                <w:szCs w:val="20"/>
              </w:rPr>
            </w:pPr>
            <w:r w:rsidRPr="00393A05">
              <w:rPr>
                <w:rFonts w:ascii="Verdana" w:eastAsia="华文细黑" w:hAnsi="Verdana" w:cs="宋体"/>
                <w:b/>
                <w:bCs/>
                <w:color w:val="000000"/>
                <w:sz w:val="20"/>
                <w:szCs w:val="20"/>
              </w:rPr>
              <w:t>68,540.00</w:t>
            </w:r>
          </w:p>
        </w:tc>
      </w:tr>
      <w:tr w:rsidR="00A63B88" w:rsidRPr="00A63B88" w14:paraId="56670622" w14:textId="77777777" w:rsidTr="0014152F">
        <w:trPr>
          <w:trHeight w:val="289"/>
          <w:jc w:val="center"/>
        </w:trPr>
        <w:tc>
          <w:tcPr>
            <w:tcW w:w="2689" w:type="dxa"/>
            <w:shd w:val="clear" w:color="auto" w:fill="auto"/>
            <w:noWrap/>
            <w:vAlign w:val="center"/>
            <w:hideMark/>
          </w:tcPr>
          <w:p w14:paraId="32E7D1D4" w14:textId="77777777" w:rsidR="00A63B88" w:rsidRPr="0014152F" w:rsidRDefault="00A63B88" w:rsidP="00EF5C9F">
            <w:pPr>
              <w:rPr>
                <w:rFonts w:ascii="Verdana" w:eastAsia="华文细黑" w:hAnsi="Verdana" w:cs="宋体"/>
                <w:b/>
                <w:bCs/>
                <w:color w:val="000000"/>
                <w:sz w:val="20"/>
                <w:szCs w:val="20"/>
              </w:rPr>
            </w:pPr>
            <w:r w:rsidRPr="0014152F">
              <w:rPr>
                <w:rFonts w:ascii="Verdana" w:eastAsia="华文细黑" w:hAnsi="Verdana" w:cs="宋体" w:hint="eastAsia"/>
                <w:b/>
                <w:bCs/>
                <w:color w:val="000000"/>
                <w:sz w:val="20"/>
                <w:szCs w:val="20"/>
              </w:rPr>
              <w:t>合计</w:t>
            </w:r>
          </w:p>
        </w:tc>
        <w:tc>
          <w:tcPr>
            <w:tcW w:w="2235" w:type="dxa"/>
            <w:shd w:val="clear" w:color="auto" w:fill="auto"/>
            <w:noWrap/>
            <w:vAlign w:val="center"/>
            <w:hideMark/>
          </w:tcPr>
          <w:p w14:paraId="026989D6" w14:textId="33E5B1A3" w:rsidR="00A63B88" w:rsidRPr="0014152F" w:rsidRDefault="001B4E1E" w:rsidP="00EF5C9F">
            <w:pPr>
              <w:jc w:val="right"/>
              <w:rPr>
                <w:rFonts w:ascii="Verdana" w:eastAsia="华文细黑" w:hAnsi="Verdana" w:cs="宋体"/>
                <w:b/>
                <w:bCs/>
                <w:color w:val="000000"/>
                <w:sz w:val="20"/>
                <w:szCs w:val="20"/>
              </w:rPr>
            </w:pPr>
            <w:r w:rsidRPr="001B4E1E">
              <w:rPr>
                <w:rFonts w:ascii="Verdana" w:eastAsia="华文细黑" w:hAnsi="Verdana" w:cs="宋体"/>
                <w:b/>
                <w:bCs/>
                <w:color w:val="000000"/>
                <w:sz w:val="20"/>
                <w:szCs w:val="20"/>
              </w:rPr>
              <w:t>75,976.87</w:t>
            </w:r>
          </w:p>
        </w:tc>
        <w:tc>
          <w:tcPr>
            <w:tcW w:w="1450" w:type="dxa"/>
            <w:shd w:val="clear" w:color="auto" w:fill="auto"/>
            <w:noWrap/>
            <w:vAlign w:val="center"/>
            <w:hideMark/>
          </w:tcPr>
          <w:p w14:paraId="25D985B9" w14:textId="35234E20" w:rsidR="00A63B88" w:rsidRPr="0014152F" w:rsidRDefault="00563500" w:rsidP="00EF5C9F">
            <w:pPr>
              <w:jc w:val="right"/>
              <w:rPr>
                <w:rFonts w:ascii="Verdana" w:eastAsia="华文细黑" w:hAnsi="Verdana" w:cs="宋体"/>
                <w:b/>
                <w:bCs/>
                <w:color w:val="000000"/>
                <w:sz w:val="20"/>
                <w:szCs w:val="20"/>
              </w:rPr>
            </w:pPr>
            <w:r w:rsidRPr="00563500">
              <w:rPr>
                <w:rFonts w:ascii="Verdana" w:eastAsia="华文细黑" w:hAnsi="Verdana" w:cs="宋体"/>
                <w:b/>
                <w:bCs/>
                <w:color w:val="000000"/>
                <w:sz w:val="20"/>
                <w:szCs w:val="20"/>
              </w:rPr>
              <w:t>40,037.38</w:t>
            </w:r>
          </w:p>
        </w:tc>
        <w:tc>
          <w:tcPr>
            <w:tcW w:w="1276" w:type="dxa"/>
            <w:shd w:val="clear" w:color="auto" w:fill="auto"/>
            <w:noWrap/>
            <w:vAlign w:val="center"/>
            <w:hideMark/>
          </w:tcPr>
          <w:p w14:paraId="24EBDFC8" w14:textId="2678EFED" w:rsidR="00A63B88" w:rsidRPr="0014152F" w:rsidRDefault="00563500" w:rsidP="00EF5C9F">
            <w:pPr>
              <w:jc w:val="right"/>
              <w:rPr>
                <w:rFonts w:ascii="Verdana" w:eastAsia="华文细黑" w:hAnsi="Verdana" w:cs="宋体"/>
                <w:b/>
                <w:bCs/>
                <w:color w:val="000000"/>
                <w:sz w:val="20"/>
                <w:szCs w:val="20"/>
              </w:rPr>
            </w:pPr>
            <w:r w:rsidRPr="00563500">
              <w:rPr>
                <w:rFonts w:ascii="Verdana" w:eastAsia="华文细黑" w:hAnsi="Verdana" w:cs="宋体"/>
                <w:b/>
                <w:bCs/>
                <w:color w:val="000000"/>
                <w:sz w:val="20"/>
                <w:szCs w:val="20"/>
              </w:rPr>
              <w:t>6,929.49</w:t>
            </w:r>
          </w:p>
        </w:tc>
        <w:tc>
          <w:tcPr>
            <w:tcW w:w="1559" w:type="dxa"/>
            <w:shd w:val="clear" w:color="auto" w:fill="auto"/>
            <w:noWrap/>
            <w:vAlign w:val="center"/>
            <w:hideMark/>
          </w:tcPr>
          <w:p w14:paraId="07F4B069" w14:textId="3C88002F" w:rsidR="00A63B88" w:rsidRPr="0014152F" w:rsidRDefault="00393A05" w:rsidP="00EF5C9F">
            <w:pPr>
              <w:jc w:val="right"/>
              <w:rPr>
                <w:rFonts w:ascii="Verdana" w:eastAsia="华文细黑" w:hAnsi="Verdana" w:cs="宋体"/>
                <w:b/>
                <w:bCs/>
                <w:color w:val="000000"/>
                <w:sz w:val="20"/>
                <w:szCs w:val="20"/>
              </w:rPr>
            </w:pPr>
            <w:r w:rsidRPr="00393A05">
              <w:rPr>
                <w:rFonts w:ascii="Verdana" w:eastAsia="华文细黑" w:hAnsi="Verdana" w:cs="宋体"/>
                <w:b/>
                <w:bCs/>
                <w:color w:val="000000"/>
                <w:sz w:val="20"/>
                <w:szCs w:val="20"/>
              </w:rPr>
              <w:t>122,943.74</w:t>
            </w:r>
          </w:p>
        </w:tc>
      </w:tr>
      <w:tr w:rsidR="00F75C21" w:rsidRPr="00A63B88" w14:paraId="359B446C" w14:textId="77777777" w:rsidTr="00F75C21">
        <w:trPr>
          <w:trHeight w:val="289"/>
          <w:jc w:val="center"/>
        </w:trPr>
        <w:tc>
          <w:tcPr>
            <w:tcW w:w="2689" w:type="dxa"/>
            <w:shd w:val="clear" w:color="auto" w:fill="D3DFEE"/>
            <w:noWrap/>
            <w:vAlign w:val="center"/>
            <w:hideMark/>
          </w:tcPr>
          <w:p w14:paraId="614930B5" w14:textId="77777777" w:rsidR="00A63B88" w:rsidRPr="0014152F" w:rsidRDefault="00A63B88" w:rsidP="00EF5C9F">
            <w:pPr>
              <w:rPr>
                <w:rFonts w:ascii="Verdana" w:eastAsia="华文细黑" w:hAnsi="Verdana" w:cs="宋体"/>
                <w:b/>
                <w:bCs/>
                <w:color w:val="000000"/>
                <w:sz w:val="20"/>
                <w:szCs w:val="20"/>
              </w:rPr>
            </w:pPr>
            <w:r w:rsidRPr="0014152F">
              <w:rPr>
                <w:rFonts w:ascii="Verdana" w:eastAsia="华文细黑" w:hAnsi="Verdana" w:cs="宋体" w:hint="eastAsia"/>
                <w:b/>
                <w:bCs/>
                <w:color w:val="000000"/>
                <w:sz w:val="20"/>
                <w:szCs w:val="20"/>
              </w:rPr>
              <w:t>资金使用</w:t>
            </w:r>
          </w:p>
        </w:tc>
        <w:tc>
          <w:tcPr>
            <w:tcW w:w="2235" w:type="dxa"/>
            <w:shd w:val="clear" w:color="auto" w:fill="D3DFEE"/>
            <w:noWrap/>
            <w:vAlign w:val="center"/>
            <w:hideMark/>
          </w:tcPr>
          <w:p w14:paraId="4FDE8AB6" w14:textId="77777777" w:rsidR="00A63B88" w:rsidRPr="0014152F" w:rsidRDefault="00A63B88" w:rsidP="00EF5C9F">
            <w:pPr>
              <w:jc w:val="right"/>
              <w:rPr>
                <w:rFonts w:ascii="Verdana" w:eastAsia="华文细黑" w:hAnsi="Verdana"/>
                <w:color w:val="000000"/>
                <w:sz w:val="20"/>
                <w:szCs w:val="20"/>
              </w:rPr>
            </w:pPr>
          </w:p>
        </w:tc>
        <w:tc>
          <w:tcPr>
            <w:tcW w:w="1450" w:type="dxa"/>
            <w:shd w:val="clear" w:color="auto" w:fill="D3DFEE"/>
            <w:noWrap/>
            <w:vAlign w:val="center"/>
            <w:hideMark/>
          </w:tcPr>
          <w:p w14:paraId="277C44BB" w14:textId="77777777" w:rsidR="00A63B88" w:rsidRPr="0014152F" w:rsidRDefault="00A63B88" w:rsidP="00EF5C9F">
            <w:pPr>
              <w:jc w:val="right"/>
              <w:rPr>
                <w:rFonts w:ascii="Verdana" w:eastAsia="华文细黑" w:hAnsi="Verdana"/>
                <w:color w:val="000000"/>
                <w:sz w:val="20"/>
                <w:szCs w:val="20"/>
              </w:rPr>
            </w:pPr>
          </w:p>
        </w:tc>
        <w:tc>
          <w:tcPr>
            <w:tcW w:w="1276" w:type="dxa"/>
            <w:shd w:val="clear" w:color="auto" w:fill="D3DFEE"/>
            <w:noWrap/>
            <w:vAlign w:val="center"/>
            <w:hideMark/>
          </w:tcPr>
          <w:p w14:paraId="656580E4" w14:textId="77777777" w:rsidR="00A63B88" w:rsidRPr="0014152F" w:rsidRDefault="00A63B88" w:rsidP="00EF5C9F">
            <w:pPr>
              <w:jc w:val="right"/>
              <w:rPr>
                <w:rFonts w:ascii="Verdana" w:eastAsia="华文细黑" w:hAnsi="Verdana"/>
                <w:color w:val="000000"/>
                <w:sz w:val="20"/>
                <w:szCs w:val="20"/>
              </w:rPr>
            </w:pPr>
          </w:p>
        </w:tc>
        <w:tc>
          <w:tcPr>
            <w:tcW w:w="1559" w:type="dxa"/>
            <w:shd w:val="clear" w:color="auto" w:fill="D3DFEE"/>
            <w:noWrap/>
            <w:vAlign w:val="center"/>
            <w:hideMark/>
          </w:tcPr>
          <w:p w14:paraId="020E8532" w14:textId="77777777" w:rsidR="00A63B88" w:rsidRPr="0014152F" w:rsidRDefault="00A63B88" w:rsidP="00EF5C9F">
            <w:pPr>
              <w:jc w:val="right"/>
              <w:rPr>
                <w:rFonts w:ascii="Verdana" w:eastAsia="华文细黑" w:hAnsi="Verdana"/>
                <w:b/>
                <w:bCs/>
                <w:color w:val="000000"/>
                <w:sz w:val="20"/>
                <w:szCs w:val="20"/>
              </w:rPr>
            </w:pPr>
          </w:p>
        </w:tc>
      </w:tr>
      <w:tr w:rsidR="00A63B88" w:rsidRPr="00A63B88" w14:paraId="3A8622FC" w14:textId="77777777" w:rsidTr="0014152F">
        <w:trPr>
          <w:trHeight w:val="289"/>
          <w:jc w:val="center"/>
        </w:trPr>
        <w:tc>
          <w:tcPr>
            <w:tcW w:w="2689" w:type="dxa"/>
            <w:shd w:val="clear" w:color="auto" w:fill="auto"/>
            <w:noWrap/>
            <w:vAlign w:val="center"/>
            <w:hideMark/>
          </w:tcPr>
          <w:p w14:paraId="01AEDB60" w14:textId="77777777" w:rsidR="00A63B88" w:rsidRPr="0014152F" w:rsidRDefault="00A63B88" w:rsidP="00EF5C9F">
            <w:pPr>
              <w:rPr>
                <w:rFonts w:ascii="Verdana" w:eastAsia="华文细黑" w:hAnsi="Verdana" w:cs="宋体"/>
                <w:b/>
                <w:bCs/>
                <w:color w:val="000000"/>
                <w:sz w:val="20"/>
                <w:szCs w:val="20"/>
              </w:rPr>
            </w:pPr>
            <w:r w:rsidRPr="0014152F">
              <w:rPr>
                <w:rFonts w:ascii="Verdana" w:eastAsia="华文细黑" w:hAnsi="Verdana" w:cs="宋体" w:hint="eastAsia"/>
                <w:b/>
                <w:bCs/>
                <w:color w:val="000000"/>
                <w:sz w:val="20"/>
                <w:szCs w:val="20"/>
              </w:rPr>
              <w:t>建设资金使用金额合计</w:t>
            </w:r>
          </w:p>
        </w:tc>
        <w:tc>
          <w:tcPr>
            <w:tcW w:w="2235" w:type="dxa"/>
            <w:shd w:val="clear" w:color="auto" w:fill="auto"/>
            <w:noWrap/>
            <w:vAlign w:val="center"/>
            <w:hideMark/>
          </w:tcPr>
          <w:p w14:paraId="2C22B35C" w14:textId="487BEB5B" w:rsidR="00A63B88" w:rsidRPr="0014152F" w:rsidRDefault="001B4E1E" w:rsidP="00EF5C9F">
            <w:pPr>
              <w:jc w:val="right"/>
              <w:rPr>
                <w:rFonts w:ascii="Verdana" w:eastAsia="华文细黑" w:hAnsi="Verdana" w:cs="宋体"/>
                <w:b/>
                <w:bCs/>
                <w:color w:val="000000"/>
                <w:sz w:val="20"/>
                <w:szCs w:val="20"/>
              </w:rPr>
            </w:pPr>
            <w:r w:rsidRPr="001B4E1E">
              <w:rPr>
                <w:rFonts w:ascii="Verdana" w:eastAsia="华文细黑" w:hAnsi="Verdana" w:cs="宋体"/>
                <w:b/>
                <w:bCs/>
                <w:color w:val="000000"/>
                <w:sz w:val="20"/>
                <w:szCs w:val="20"/>
              </w:rPr>
              <w:t>75,976.87</w:t>
            </w:r>
          </w:p>
        </w:tc>
        <w:tc>
          <w:tcPr>
            <w:tcW w:w="1450" w:type="dxa"/>
            <w:shd w:val="clear" w:color="auto" w:fill="auto"/>
            <w:noWrap/>
            <w:vAlign w:val="center"/>
            <w:hideMark/>
          </w:tcPr>
          <w:p w14:paraId="4A479931" w14:textId="089929D2" w:rsidR="00A63B88" w:rsidRPr="0014152F" w:rsidRDefault="00563500" w:rsidP="00EF5C9F">
            <w:pPr>
              <w:jc w:val="right"/>
              <w:rPr>
                <w:rFonts w:ascii="Verdana" w:eastAsia="华文细黑" w:hAnsi="Verdana" w:cs="宋体"/>
                <w:b/>
                <w:bCs/>
                <w:color w:val="000000"/>
                <w:sz w:val="20"/>
                <w:szCs w:val="20"/>
              </w:rPr>
            </w:pPr>
            <w:r w:rsidRPr="00563500">
              <w:rPr>
                <w:rFonts w:ascii="Verdana" w:eastAsia="华文细黑" w:hAnsi="Verdana" w:cs="宋体"/>
                <w:b/>
                <w:bCs/>
                <w:color w:val="000000"/>
                <w:sz w:val="20"/>
                <w:szCs w:val="20"/>
              </w:rPr>
              <w:t>40,037.38</w:t>
            </w:r>
          </w:p>
        </w:tc>
        <w:tc>
          <w:tcPr>
            <w:tcW w:w="1276" w:type="dxa"/>
            <w:shd w:val="clear" w:color="auto" w:fill="auto"/>
            <w:noWrap/>
            <w:vAlign w:val="center"/>
            <w:hideMark/>
          </w:tcPr>
          <w:p w14:paraId="37CCDC7B" w14:textId="76E62524" w:rsidR="00A63B88" w:rsidRPr="0014152F" w:rsidRDefault="00563500" w:rsidP="00EF5C9F">
            <w:pPr>
              <w:jc w:val="right"/>
              <w:rPr>
                <w:rFonts w:ascii="Verdana" w:eastAsia="华文细黑" w:hAnsi="Verdana" w:cs="宋体"/>
                <w:b/>
                <w:bCs/>
                <w:color w:val="000000"/>
                <w:sz w:val="20"/>
                <w:szCs w:val="20"/>
              </w:rPr>
            </w:pPr>
            <w:r w:rsidRPr="00563500">
              <w:rPr>
                <w:rFonts w:ascii="Verdana" w:eastAsia="华文细黑" w:hAnsi="Verdana" w:cs="宋体"/>
                <w:b/>
                <w:bCs/>
                <w:color w:val="000000"/>
                <w:sz w:val="20"/>
                <w:szCs w:val="20"/>
              </w:rPr>
              <w:t>6,929.49</w:t>
            </w:r>
          </w:p>
        </w:tc>
        <w:tc>
          <w:tcPr>
            <w:tcW w:w="1559" w:type="dxa"/>
            <w:shd w:val="clear" w:color="auto" w:fill="auto"/>
            <w:noWrap/>
            <w:vAlign w:val="center"/>
            <w:hideMark/>
          </w:tcPr>
          <w:p w14:paraId="49333D97" w14:textId="4BF0759C" w:rsidR="00A63B88" w:rsidRPr="0014152F" w:rsidRDefault="00393A05" w:rsidP="00EF5C9F">
            <w:pPr>
              <w:jc w:val="right"/>
              <w:rPr>
                <w:rFonts w:ascii="Verdana" w:eastAsia="华文细黑" w:hAnsi="Verdana" w:cs="宋体"/>
                <w:b/>
                <w:bCs/>
                <w:color w:val="000000"/>
                <w:sz w:val="20"/>
                <w:szCs w:val="20"/>
              </w:rPr>
            </w:pPr>
            <w:r w:rsidRPr="00393A05">
              <w:rPr>
                <w:rFonts w:ascii="Verdana" w:eastAsia="华文细黑" w:hAnsi="Verdana" w:cs="宋体"/>
                <w:b/>
                <w:bCs/>
                <w:color w:val="000000"/>
                <w:sz w:val="20"/>
                <w:szCs w:val="20"/>
              </w:rPr>
              <w:t>122,943.74</w:t>
            </w:r>
          </w:p>
        </w:tc>
      </w:tr>
      <w:tr w:rsidR="00F75C21" w:rsidRPr="00A63B88" w14:paraId="00841C9C" w14:textId="77777777" w:rsidTr="0014152F">
        <w:trPr>
          <w:trHeight w:val="289"/>
          <w:jc w:val="center"/>
        </w:trPr>
        <w:tc>
          <w:tcPr>
            <w:tcW w:w="2689" w:type="dxa"/>
            <w:shd w:val="clear" w:color="auto" w:fill="D3DFEE"/>
            <w:vAlign w:val="center"/>
            <w:hideMark/>
          </w:tcPr>
          <w:p w14:paraId="2F80F289" w14:textId="77777777" w:rsidR="00A63B88" w:rsidRPr="0014152F" w:rsidRDefault="00A63B88" w:rsidP="00EF5C9F">
            <w:pPr>
              <w:rPr>
                <w:rFonts w:ascii="Verdana" w:eastAsia="华文细黑" w:hAnsi="Verdana" w:cs="宋体"/>
                <w:b/>
                <w:bCs/>
                <w:color w:val="000000"/>
                <w:sz w:val="20"/>
                <w:szCs w:val="20"/>
              </w:rPr>
            </w:pPr>
            <w:r w:rsidRPr="0014152F">
              <w:rPr>
                <w:rFonts w:ascii="Verdana" w:eastAsia="华文细黑" w:hAnsi="Verdana" w:cs="宋体" w:hint="eastAsia"/>
                <w:b/>
                <w:bCs/>
                <w:color w:val="000000"/>
                <w:sz w:val="20"/>
                <w:szCs w:val="20"/>
              </w:rPr>
              <w:t>资金余额</w:t>
            </w:r>
          </w:p>
        </w:tc>
        <w:tc>
          <w:tcPr>
            <w:tcW w:w="2235" w:type="dxa"/>
            <w:vMerge w:val="restart"/>
            <w:shd w:val="clear" w:color="auto" w:fill="D3DFEE"/>
            <w:noWrap/>
            <w:vAlign w:val="center"/>
            <w:hideMark/>
          </w:tcPr>
          <w:p w14:paraId="00E52C11" w14:textId="77777777" w:rsidR="00A63B88" w:rsidRPr="0014152F" w:rsidRDefault="00A63B88" w:rsidP="00EF5C9F">
            <w:pPr>
              <w:jc w:val="right"/>
              <w:rPr>
                <w:rFonts w:ascii="Verdana" w:eastAsia="华文细黑" w:hAnsi="Verdana"/>
                <w:color w:val="000000"/>
                <w:sz w:val="20"/>
                <w:szCs w:val="20"/>
              </w:rPr>
            </w:pPr>
          </w:p>
        </w:tc>
        <w:tc>
          <w:tcPr>
            <w:tcW w:w="1450" w:type="dxa"/>
            <w:vMerge w:val="restart"/>
            <w:shd w:val="clear" w:color="auto" w:fill="D3DFEE"/>
            <w:noWrap/>
            <w:vAlign w:val="center"/>
            <w:hideMark/>
          </w:tcPr>
          <w:p w14:paraId="72D847CA" w14:textId="77777777" w:rsidR="00A63B88" w:rsidRPr="0014152F" w:rsidRDefault="00A63B88" w:rsidP="00EF5C9F">
            <w:pPr>
              <w:jc w:val="right"/>
              <w:rPr>
                <w:rFonts w:ascii="Verdana" w:eastAsia="华文细黑" w:hAnsi="Verdana" w:cs="宋体"/>
                <w:b/>
                <w:bCs/>
                <w:color w:val="000000"/>
                <w:sz w:val="20"/>
                <w:szCs w:val="20"/>
              </w:rPr>
            </w:pPr>
            <w:r w:rsidRPr="0014152F">
              <w:rPr>
                <w:rFonts w:ascii="Verdana" w:eastAsia="华文细黑" w:hAnsi="Verdana" w:cs="宋体"/>
                <w:b/>
                <w:bCs/>
                <w:color w:val="000000"/>
                <w:sz w:val="20"/>
                <w:szCs w:val="20"/>
              </w:rPr>
              <w:t>-</w:t>
            </w:r>
          </w:p>
        </w:tc>
        <w:tc>
          <w:tcPr>
            <w:tcW w:w="1276" w:type="dxa"/>
            <w:vMerge w:val="restart"/>
            <w:shd w:val="clear" w:color="auto" w:fill="D3DFEE"/>
            <w:noWrap/>
            <w:vAlign w:val="center"/>
            <w:hideMark/>
          </w:tcPr>
          <w:p w14:paraId="6E46F263" w14:textId="77777777" w:rsidR="00A63B88" w:rsidRPr="0014152F" w:rsidRDefault="00A63B88" w:rsidP="00EF5C9F">
            <w:pPr>
              <w:jc w:val="right"/>
              <w:rPr>
                <w:rFonts w:ascii="Verdana" w:eastAsia="华文细黑" w:hAnsi="Verdana" w:cs="宋体"/>
                <w:b/>
                <w:bCs/>
                <w:color w:val="000000"/>
                <w:sz w:val="20"/>
                <w:szCs w:val="20"/>
              </w:rPr>
            </w:pPr>
            <w:r w:rsidRPr="0014152F">
              <w:rPr>
                <w:rFonts w:ascii="Verdana" w:eastAsia="华文细黑" w:hAnsi="Verdana" w:cs="宋体"/>
                <w:b/>
                <w:bCs/>
                <w:color w:val="000000"/>
                <w:sz w:val="20"/>
                <w:szCs w:val="20"/>
              </w:rPr>
              <w:t>-</w:t>
            </w:r>
          </w:p>
        </w:tc>
        <w:tc>
          <w:tcPr>
            <w:tcW w:w="1559" w:type="dxa"/>
            <w:vMerge w:val="restart"/>
            <w:shd w:val="clear" w:color="auto" w:fill="D3DFEE"/>
            <w:noWrap/>
            <w:vAlign w:val="center"/>
            <w:hideMark/>
          </w:tcPr>
          <w:p w14:paraId="32CDBBD3" w14:textId="77777777" w:rsidR="00A63B88" w:rsidRPr="0014152F" w:rsidRDefault="00A63B88" w:rsidP="00EF5C9F">
            <w:pPr>
              <w:jc w:val="right"/>
              <w:rPr>
                <w:rFonts w:ascii="Verdana" w:eastAsia="华文细黑" w:hAnsi="Verdana"/>
                <w:color w:val="000000"/>
                <w:sz w:val="20"/>
                <w:szCs w:val="20"/>
              </w:rPr>
            </w:pPr>
          </w:p>
        </w:tc>
      </w:tr>
      <w:tr w:rsidR="00F75C21" w:rsidRPr="00A63B88" w14:paraId="448A2B95" w14:textId="77777777" w:rsidTr="00F75C21">
        <w:trPr>
          <w:trHeight w:val="289"/>
          <w:jc w:val="center"/>
        </w:trPr>
        <w:tc>
          <w:tcPr>
            <w:tcW w:w="2689" w:type="dxa"/>
            <w:shd w:val="clear" w:color="auto" w:fill="D3DFEE"/>
            <w:vAlign w:val="center"/>
            <w:hideMark/>
          </w:tcPr>
          <w:p w14:paraId="5B640FD9" w14:textId="77777777" w:rsidR="00A63B88" w:rsidRPr="0014152F" w:rsidRDefault="00A63B88" w:rsidP="00EF5C9F">
            <w:pPr>
              <w:rPr>
                <w:rFonts w:ascii="Verdana" w:eastAsia="华文细黑" w:hAnsi="Verdana" w:cs="宋体"/>
                <w:b/>
                <w:bCs/>
                <w:color w:val="000000"/>
                <w:sz w:val="20"/>
                <w:szCs w:val="20"/>
              </w:rPr>
            </w:pPr>
            <w:r w:rsidRPr="0014152F">
              <w:rPr>
                <w:rFonts w:ascii="Verdana" w:eastAsia="华文细黑" w:hAnsi="Verdana" w:cs="宋体" w:hint="eastAsia"/>
                <w:b/>
                <w:bCs/>
                <w:color w:val="000000"/>
                <w:sz w:val="20"/>
                <w:szCs w:val="20"/>
              </w:rPr>
              <w:t>（资金筹措</w:t>
            </w:r>
            <w:r w:rsidRPr="0014152F">
              <w:rPr>
                <w:rFonts w:ascii="Verdana" w:eastAsia="华文细黑" w:hAnsi="Verdana" w:cs="宋体"/>
                <w:b/>
                <w:bCs/>
                <w:color w:val="000000"/>
                <w:sz w:val="20"/>
                <w:szCs w:val="20"/>
              </w:rPr>
              <w:t xml:space="preserve"> </w:t>
            </w:r>
            <w:r w:rsidRPr="0014152F">
              <w:rPr>
                <w:rFonts w:ascii="Verdana" w:eastAsia="华文细黑" w:hAnsi="Verdana" w:cs="宋体" w:hint="eastAsia"/>
                <w:b/>
                <w:bCs/>
                <w:color w:val="000000"/>
                <w:sz w:val="20"/>
                <w:szCs w:val="20"/>
              </w:rPr>
              <w:t>—</w:t>
            </w:r>
            <w:r w:rsidRPr="0014152F">
              <w:rPr>
                <w:rFonts w:ascii="Verdana" w:eastAsia="华文细黑" w:hAnsi="Verdana" w:cs="宋体"/>
                <w:b/>
                <w:bCs/>
                <w:color w:val="000000"/>
                <w:sz w:val="20"/>
                <w:szCs w:val="20"/>
              </w:rPr>
              <w:t xml:space="preserve"> </w:t>
            </w:r>
            <w:r w:rsidRPr="0014152F">
              <w:rPr>
                <w:rFonts w:ascii="Verdana" w:eastAsia="华文细黑" w:hAnsi="Verdana" w:cs="宋体" w:hint="eastAsia"/>
                <w:b/>
                <w:bCs/>
                <w:color w:val="000000"/>
                <w:sz w:val="20"/>
                <w:szCs w:val="20"/>
              </w:rPr>
              <w:t>资金使用）</w:t>
            </w:r>
          </w:p>
        </w:tc>
        <w:tc>
          <w:tcPr>
            <w:tcW w:w="2235" w:type="dxa"/>
            <w:vMerge/>
            <w:shd w:val="clear" w:color="auto" w:fill="D3DFEE"/>
            <w:vAlign w:val="center"/>
            <w:hideMark/>
          </w:tcPr>
          <w:p w14:paraId="28C0D292" w14:textId="77777777" w:rsidR="00A63B88" w:rsidRPr="0014152F" w:rsidRDefault="00A63B88" w:rsidP="00EF5C9F">
            <w:pPr>
              <w:jc w:val="center"/>
              <w:rPr>
                <w:rFonts w:ascii="Verdana" w:eastAsia="华文细黑" w:hAnsi="Verdana"/>
                <w:color w:val="000000"/>
                <w:sz w:val="20"/>
                <w:szCs w:val="20"/>
              </w:rPr>
            </w:pPr>
          </w:p>
        </w:tc>
        <w:tc>
          <w:tcPr>
            <w:tcW w:w="1450" w:type="dxa"/>
            <w:vMerge/>
            <w:vAlign w:val="center"/>
            <w:hideMark/>
          </w:tcPr>
          <w:p w14:paraId="085B039C" w14:textId="77777777" w:rsidR="00A63B88" w:rsidRPr="0014152F" w:rsidRDefault="00A63B88" w:rsidP="00EF5C9F">
            <w:pPr>
              <w:jc w:val="center"/>
              <w:rPr>
                <w:rFonts w:ascii="Verdana" w:eastAsia="华文细黑" w:hAnsi="Verdana" w:cs="宋体"/>
                <w:b/>
                <w:bCs/>
                <w:color w:val="000000"/>
                <w:sz w:val="20"/>
                <w:szCs w:val="20"/>
              </w:rPr>
            </w:pPr>
          </w:p>
        </w:tc>
        <w:tc>
          <w:tcPr>
            <w:tcW w:w="1276" w:type="dxa"/>
            <w:vMerge/>
            <w:vAlign w:val="center"/>
            <w:hideMark/>
          </w:tcPr>
          <w:p w14:paraId="26A61F9C" w14:textId="77777777" w:rsidR="00A63B88" w:rsidRPr="0014152F" w:rsidRDefault="00A63B88" w:rsidP="00EF5C9F">
            <w:pPr>
              <w:jc w:val="center"/>
              <w:rPr>
                <w:rFonts w:ascii="Verdana" w:eastAsia="华文细黑" w:hAnsi="Verdana" w:cs="宋体"/>
                <w:b/>
                <w:bCs/>
                <w:color w:val="000000"/>
                <w:sz w:val="20"/>
                <w:szCs w:val="20"/>
              </w:rPr>
            </w:pPr>
          </w:p>
        </w:tc>
        <w:tc>
          <w:tcPr>
            <w:tcW w:w="1559" w:type="dxa"/>
            <w:vMerge/>
            <w:vAlign w:val="center"/>
            <w:hideMark/>
          </w:tcPr>
          <w:p w14:paraId="4E177664" w14:textId="77777777" w:rsidR="00A63B88" w:rsidRPr="0014152F" w:rsidRDefault="00A63B88" w:rsidP="00EF5C9F">
            <w:pPr>
              <w:jc w:val="center"/>
              <w:rPr>
                <w:rFonts w:ascii="Verdana" w:eastAsia="华文细黑" w:hAnsi="Verdana"/>
                <w:color w:val="000000"/>
                <w:sz w:val="20"/>
                <w:szCs w:val="20"/>
              </w:rPr>
            </w:pPr>
          </w:p>
        </w:tc>
      </w:tr>
    </w:tbl>
    <w:p w14:paraId="41455C75" w14:textId="085ADB42" w:rsidR="000D1B9A" w:rsidRPr="00A63B88" w:rsidRDefault="000D1B9A" w:rsidP="003C3C26">
      <w:pPr>
        <w:ind w:rightChars="56" w:right="134"/>
        <w:jc w:val="right"/>
        <w:rPr>
          <w:rFonts w:ascii="Verdana" w:eastAsia="华文细黑" w:hAnsi="Verdana" w:cs="Calibri"/>
          <w:color w:val="000000"/>
          <w:sz w:val="20"/>
          <w:szCs w:val="20"/>
        </w:rPr>
      </w:pPr>
    </w:p>
    <w:p w14:paraId="1214ACCB" w14:textId="77777777" w:rsidR="00A63B88" w:rsidRPr="007072FB" w:rsidRDefault="00A63B88" w:rsidP="003C3C26">
      <w:pPr>
        <w:ind w:rightChars="56" w:right="134"/>
        <w:jc w:val="right"/>
        <w:rPr>
          <w:rFonts w:ascii="Verdana" w:eastAsia="华文细黑" w:hAnsi="Verdana" w:cs="Calibri"/>
          <w:color w:val="000000"/>
          <w:sz w:val="20"/>
          <w:szCs w:val="20"/>
        </w:rPr>
      </w:pPr>
    </w:p>
    <w:p w14:paraId="08003A47" w14:textId="77777777" w:rsidR="000D1B9A" w:rsidRPr="007072FB" w:rsidRDefault="000D1B9A">
      <w:pPr>
        <w:ind w:right="-7"/>
        <w:jc w:val="right"/>
        <w:rPr>
          <w:rFonts w:ascii="Verdana" w:eastAsia="华文细黑" w:hAnsi="Verdana" w:cs="Calibri"/>
          <w:color w:val="000000"/>
          <w:sz w:val="20"/>
          <w:szCs w:val="20"/>
        </w:rPr>
      </w:pPr>
    </w:p>
    <w:p w14:paraId="0BC85CB0" w14:textId="77777777" w:rsidR="000D1B9A" w:rsidRPr="007072FB" w:rsidRDefault="000D1B9A">
      <w:pPr>
        <w:ind w:right="-7"/>
        <w:jc w:val="right"/>
        <w:rPr>
          <w:rFonts w:ascii="Verdana" w:eastAsia="华文细黑" w:hAnsi="Verdana" w:cs="Calibri"/>
          <w:color w:val="000000"/>
          <w:sz w:val="20"/>
          <w:szCs w:val="20"/>
        </w:rPr>
      </w:pPr>
    </w:p>
    <w:p w14:paraId="20987A76" w14:textId="77777777" w:rsidR="000D1B9A" w:rsidRPr="007072FB" w:rsidRDefault="000D1B9A">
      <w:pPr>
        <w:jc w:val="right"/>
        <w:rPr>
          <w:rFonts w:ascii="Verdana" w:eastAsia="华文细黑" w:hAnsi="Verdana" w:cs="Calibri"/>
          <w:color w:val="000000"/>
          <w:sz w:val="20"/>
          <w:szCs w:val="20"/>
        </w:rPr>
        <w:sectPr w:rsidR="000D1B9A" w:rsidRPr="007072FB">
          <w:footerReference w:type="default" r:id="rId17"/>
          <w:pgSz w:w="12240" w:h="15840"/>
          <w:pgMar w:top="1276" w:right="1800" w:bottom="1276" w:left="1800" w:header="708" w:footer="850" w:gutter="0"/>
          <w:cols w:space="708"/>
          <w:docGrid w:linePitch="360"/>
        </w:sectPr>
      </w:pPr>
    </w:p>
    <w:p w14:paraId="149EC3BC" w14:textId="5335ACA6" w:rsidR="000D1B9A" w:rsidRPr="007072FB" w:rsidRDefault="00000000">
      <w:pPr>
        <w:jc w:val="center"/>
        <w:rPr>
          <w:rFonts w:ascii="Verdana" w:eastAsia="华文细黑" w:hAnsi="Verdana" w:cs="Calibri"/>
          <w:b/>
          <w:color w:val="000000"/>
        </w:rPr>
      </w:pPr>
      <w:r w:rsidRPr="007072FB">
        <w:rPr>
          <w:rFonts w:ascii="Verdana" w:eastAsia="华文细黑" w:hAnsi="Verdana" w:cs="Calibri"/>
          <w:b/>
          <w:color w:val="000000"/>
        </w:rPr>
        <w:lastRenderedPageBreak/>
        <w:t>表</w:t>
      </w:r>
      <w:r w:rsidR="00913C47">
        <w:rPr>
          <w:rFonts w:ascii="Verdana" w:eastAsia="华文细黑" w:hAnsi="Verdana" w:cs="Calibri" w:hint="eastAsia"/>
          <w:b/>
          <w:color w:val="000000"/>
        </w:rPr>
        <w:t>6</w:t>
      </w:r>
      <w:r w:rsidRPr="007072FB">
        <w:rPr>
          <w:rFonts w:ascii="Verdana" w:eastAsia="华文细黑" w:hAnsi="Verdana" w:cs="Calibri"/>
          <w:b/>
          <w:color w:val="000000"/>
        </w:rPr>
        <w:t>项目现金流平衡表</w:t>
      </w:r>
    </w:p>
    <w:p w14:paraId="70EB4948" w14:textId="77777777" w:rsidR="00A575ED" w:rsidRDefault="00000000">
      <w:pPr>
        <w:jc w:val="right"/>
        <w:rPr>
          <w:rFonts w:ascii="Verdana" w:eastAsia="华文细黑" w:hAnsi="Verdana" w:cs="Calibri"/>
          <w:color w:val="000000"/>
          <w:sz w:val="20"/>
          <w:szCs w:val="20"/>
        </w:rPr>
      </w:pPr>
      <w:r w:rsidRPr="007072FB">
        <w:rPr>
          <w:rFonts w:ascii="Verdana" w:eastAsia="华文细黑" w:hAnsi="Verdana" w:cs="Calibri"/>
          <w:color w:val="000000"/>
          <w:sz w:val="20"/>
          <w:szCs w:val="20"/>
        </w:rPr>
        <w:t>单位：人民币万元</w:t>
      </w:r>
    </w:p>
    <w:tbl>
      <w:tblPr>
        <w:tblW w:w="5168" w:type="pct"/>
        <w:jc w:val="center"/>
        <w:tblLook w:val="04A0" w:firstRow="1" w:lastRow="0" w:firstColumn="1" w:lastColumn="0" w:noHBand="0" w:noVBand="1"/>
      </w:tblPr>
      <w:tblGrid>
        <w:gridCol w:w="2419"/>
        <w:gridCol w:w="1356"/>
        <w:gridCol w:w="1356"/>
        <w:gridCol w:w="1356"/>
        <w:gridCol w:w="1356"/>
        <w:gridCol w:w="1356"/>
        <w:gridCol w:w="1356"/>
        <w:gridCol w:w="1356"/>
        <w:gridCol w:w="1356"/>
        <w:gridCol w:w="1356"/>
      </w:tblGrid>
      <w:tr w:rsidR="00A575ED" w:rsidRPr="005A52C7" w14:paraId="4A2ED0F7" w14:textId="77777777" w:rsidTr="00B80E50">
        <w:trPr>
          <w:trHeight w:val="312"/>
          <w:jc w:val="center"/>
        </w:trPr>
        <w:tc>
          <w:tcPr>
            <w:tcW w:w="794" w:type="pct"/>
            <w:tcBorders>
              <w:top w:val="single" w:sz="4" w:space="0" w:color="auto"/>
              <w:left w:val="single" w:sz="4" w:space="0" w:color="auto"/>
              <w:bottom w:val="single" w:sz="4" w:space="0" w:color="auto"/>
              <w:right w:val="single" w:sz="4" w:space="0" w:color="auto"/>
            </w:tcBorders>
            <w:shd w:val="clear" w:color="000000" w:fill="0070C0"/>
            <w:noWrap/>
            <w:vAlign w:val="center"/>
            <w:hideMark/>
          </w:tcPr>
          <w:p w14:paraId="0D67422D" w14:textId="77777777" w:rsidR="00A575ED" w:rsidRPr="004B465C" w:rsidRDefault="00A575ED" w:rsidP="00B80E50">
            <w:pPr>
              <w:jc w:val="center"/>
              <w:rPr>
                <w:rFonts w:asciiTheme="minorHAnsi" w:eastAsia="华文细黑" w:hAnsiTheme="minorHAnsi" w:cs="宋体"/>
                <w:b/>
                <w:bCs/>
                <w:color w:val="FFFFFF"/>
                <w:sz w:val="20"/>
                <w:szCs w:val="20"/>
              </w:rPr>
            </w:pPr>
            <w:r>
              <w:rPr>
                <w:rFonts w:asciiTheme="minorHAnsi" w:eastAsia="华文细黑" w:hAnsiTheme="minorHAnsi" w:cs="宋体" w:hint="eastAsia"/>
                <w:b/>
                <w:bCs/>
                <w:color w:val="FFFFFF"/>
                <w:sz w:val="20"/>
                <w:szCs w:val="20"/>
              </w:rPr>
              <w:t>年度</w:t>
            </w:r>
          </w:p>
        </w:tc>
        <w:tc>
          <w:tcPr>
            <w:tcW w:w="607" w:type="pct"/>
            <w:tcBorders>
              <w:top w:val="single" w:sz="4" w:space="0" w:color="auto"/>
              <w:left w:val="nil"/>
              <w:bottom w:val="single" w:sz="4" w:space="0" w:color="auto"/>
              <w:right w:val="single" w:sz="4" w:space="0" w:color="auto"/>
            </w:tcBorders>
            <w:shd w:val="clear" w:color="000000" w:fill="0070C0"/>
            <w:noWrap/>
            <w:vAlign w:val="center"/>
            <w:hideMark/>
          </w:tcPr>
          <w:p w14:paraId="4D6264EE" w14:textId="77777777" w:rsidR="00A575ED" w:rsidRDefault="00A575ED" w:rsidP="00B80E50">
            <w:pPr>
              <w:jc w:val="center"/>
              <w:rPr>
                <w:rFonts w:asciiTheme="minorHAnsi" w:eastAsia="华文细黑" w:hAnsiTheme="minorHAnsi" w:cs="Arial"/>
                <w:b/>
                <w:bCs/>
                <w:color w:val="FFFFFF"/>
                <w:sz w:val="20"/>
                <w:szCs w:val="20"/>
              </w:rPr>
            </w:pPr>
            <w:r w:rsidRPr="004B465C">
              <w:rPr>
                <w:rFonts w:asciiTheme="minorHAnsi" w:eastAsia="华文细黑" w:hAnsiTheme="minorHAnsi" w:cs="Arial"/>
                <w:b/>
                <w:bCs/>
                <w:color w:val="FFFFFF"/>
                <w:sz w:val="20"/>
                <w:szCs w:val="20"/>
              </w:rPr>
              <w:t>2023</w:t>
            </w:r>
          </w:p>
          <w:p w14:paraId="52C6DB39" w14:textId="77777777" w:rsidR="00A575ED" w:rsidRPr="004B465C" w:rsidRDefault="00A575ED" w:rsidP="00B80E50">
            <w:pPr>
              <w:jc w:val="center"/>
              <w:rPr>
                <w:rFonts w:asciiTheme="minorHAnsi" w:eastAsia="华文细黑" w:hAnsiTheme="minorHAnsi" w:cs="Arial"/>
                <w:b/>
                <w:bCs/>
                <w:color w:val="FFFFFF"/>
                <w:sz w:val="20"/>
                <w:szCs w:val="20"/>
              </w:rPr>
            </w:pPr>
            <w:r w:rsidRPr="004B465C">
              <w:rPr>
                <w:rFonts w:asciiTheme="minorHAnsi" w:eastAsia="华文细黑" w:hAnsiTheme="minorHAnsi" w:cs="Arial" w:hint="eastAsia"/>
                <w:b/>
                <w:bCs/>
                <w:color w:val="FFFFFF"/>
                <w:sz w:val="20"/>
                <w:szCs w:val="20"/>
              </w:rPr>
              <w:t>及以前年度</w:t>
            </w:r>
          </w:p>
        </w:tc>
        <w:tc>
          <w:tcPr>
            <w:tcW w:w="454" w:type="pct"/>
            <w:tcBorders>
              <w:top w:val="single" w:sz="4" w:space="0" w:color="auto"/>
              <w:left w:val="nil"/>
              <w:bottom w:val="single" w:sz="4" w:space="0" w:color="auto"/>
              <w:right w:val="single" w:sz="4" w:space="0" w:color="auto"/>
            </w:tcBorders>
            <w:shd w:val="clear" w:color="000000" w:fill="0070C0"/>
            <w:noWrap/>
            <w:vAlign w:val="center"/>
            <w:hideMark/>
          </w:tcPr>
          <w:p w14:paraId="31D4EE9A" w14:textId="77777777" w:rsidR="00A575ED" w:rsidRPr="004B465C" w:rsidRDefault="00A575ED" w:rsidP="00B80E50">
            <w:pPr>
              <w:jc w:val="center"/>
              <w:rPr>
                <w:rFonts w:asciiTheme="minorHAnsi" w:eastAsia="华文细黑" w:hAnsiTheme="minorHAnsi" w:cs="Arial"/>
                <w:b/>
                <w:bCs/>
                <w:color w:val="FFFFFF"/>
                <w:sz w:val="20"/>
                <w:szCs w:val="20"/>
              </w:rPr>
            </w:pPr>
            <w:r w:rsidRPr="004B465C">
              <w:rPr>
                <w:rFonts w:asciiTheme="minorHAnsi" w:eastAsia="华文细黑" w:hAnsiTheme="minorHAnsi" w:cs="Arial"/>
                <w:b/>
                <w:bCs/>
                <w:color w:val="FFFFFF"/>
                <w:sz w:val="20"/>
                <w:szCs w:val="20"/>
              </w:rPr>
              <w:t>2024</w:t>
            </w:r>
          </w:p>
        </w:tc>
        <w:tc>
          <w:tcPr>
            <w:tcW w:w="449" w:type="pct"/>
            <w:tcBorders>
              <w:top w:val="single" w:sz="4" w:space="0" w:color="auto"/>
              <w:left w:val="nil"/>
              <w:bottom w:val="single" w:sz="4" w:space="0" w:color="auto"/>
              <w:right w:val="single" w:sz="4" w:space="0" w:color="auto"/>
            </w:tcBorders>
            <w:shd w:val="clear" w:color="000000" w:fill="0070C0"/>
            <w:noWrap/>
            <w:vAlign w:val="center"/>
            <w:hideMark/>
          </w:tcPr>
          <w:p w14:paraId="50D25C11" w14:textId="77777777" w:rsidR="00A575ED" w:rsidRPr="004B465C" w:rsidRDefault="00A575ED" w:rsidP="00B80E50">
            <w:pPr>
              <w:jc w:val="center"/>
              <w:rPr>
                <w:rFonts w:asciiTheme="minorHAnsi" w:eastAsia="华文细黑" w:hAnsiTheme="minorHAnsi" w:cs="Arial"/>
                <w:b/>
                <w:bCs/>
                <w:color w:val="FFFFFF"/>
                <w:sz w:val="20"/>
                <w:szCs w:val="20"/>
              </w:rPr>
            </w:pPr>
            <w:r w:rsidRPr="004B465C">
              <w:rPr>
                <w:rFonts w:asciiTheme="minorHAnsi" w:eastAsia="华文细黑" w:hAnsiTheme="minorHAnsi" w:cs="Arial"/>
                <w:b/>
                <w:bCs/>
                <w:color w:val="FFFFFF"/>
                <w:sz w:val="20"/>
                <w:szCs w:val="20"/>
              </w:rPr>
              <w:t>2025</w:t>
            </w:r>
          </w:p>
        </w:tc>
        <w:tc>
          <w:tcPr>
            <w:tcW w:w="449" w:type="pct"/>
            <w:tcBorders>
              <w:top w:val="single" w:sz="4" w:space="0" w:color="auto"/>
              <w:left w:val="nil"/>
              <w:bottom w:val="single" w:sz="4" w:space="0" w:color="auto"/>
              <w:right w:val="single" w:sz="4" w:space="0" w:color="auto"/>
            </w:tcBorders>
            <w:shd w:val="clear" w:color="000000" w:fill="0070C0"/>
            <w:noWrap/>
            <w:vAlign w:val="center"/>
            <w:hideMark/>
          </w:tcPr>
          <w:p w14:paraId="3122D503" w14:textId="77777777" w:rsidR="00A575ED" w:rsidRPr="004B465C" w:rsidRDefault="00A575ED" w:rsidP="00B80E50">
            <w:pPr>
              <w:jc w:val="center"/>
              <w:rPr>
                <w:rFonts w:asciiTheme="minorHAnsi" w:eastAsia="华文细黑" w:hAnsiTheme="minorHAnsi" w:cs="Arial"/>
                <w:b/>
                <w:bCs/>
                <w:color w:val="FFFFFF"/>
                <w:sz w:val="20"/>
                <w:szCs w:val="20"/>
              </w:rPr>
            </w:pPr>
            <w:r w:rsidRPr="004B465C">
              <w:rPr>
                <w:rFonts w:asciiTheme="minorHAnsi" w:eastAsia="华文细黑" w:hAnsiTheme="minorHAnsi" w:cs="Arial"/>
                <w:b/>
                <w:bCs/>
                <w:color w:val="FFFFFF"/>
                <w:sz w:val="20"/>
                <w:szCs w:val="20"/>
              </w:rPr>
              <w:t>2026</w:t>
            </w:r>
          </w:p>
        </w:tc>
        <w:tc>
          <w:tcPr>
            <w:tcW w:w="449" w:type="pct"/>
            <w:tcBorders>
              <w:top w:val="single" w:sz="4" w:space="0" w:color="auto"/>
              <w:left w:val="nil"/>
              <w:bottom w:val="single" w:sz="4" w:space="0" w:color="auto"/>
              <w:right w:val="single" w:sz="4" w:space="0" w:color="auto"/>
            </w:tcBorders>
            <w:shd w:val="clear" w:color="000000" w:fill="0070C0"/>
            <w:noWrap/>
            <w:vAlign w:val="center"/>
            <w:hideMark/>
          </w:tcPr>
          <w:p w14:paraId="2052AFF4" w14:textId="77777777" w:rsidR="00A575ED" w:rsidRPr="004B465C" w:rsidRDefault="00A575ED" w:rsidP="00B80E50">
            <w:pPr>
              <w:jc w:val="center"/>
              <w:rPr>
                <w:rFonts w:asciiTheme="minorHAnsi" w:eastAsia="华文细黑" w:hAnsiTheme="minorHAnsi" w:cs="Arial"/>
                <w:b/>
                <w:bCs/>
                <w:color w:val="FFFFFF"/>
                <w:sz w:val="20"/>
                <w:szCs w:val="20"/>
              </w:rPr>
            </w:pPr>
            <w:r w:rsidRPr="004B465C">
              <w:rPr>
                <w:rFonts w:asciiTheme="minorHAnsi" w:eastAsia="华文细黑" w:hAnsiTheme="minorHAnsi" w:cs="Arial"/>
                <w:b/>
                <w:bCs/>
                <w:color w:val="FFFFFF"/>
                <w:sz w:val="20"/>
                <w:szCs w:val="20"/>
              </w:rPr>
              <w:t>2027</w:t>
            </w:r>
          </w:p>
        </w:tc>
        <w:tc>
          <w:tcPr>
            <w:tcW w:w="449" w:type="pct"/>
            <w:tcBorders>
              <w:top w:val="single" w:sz="4" w:space="0" w:color="auto"/>
              <w:left w:val="nil"/>
              <w:bottom w:val="single" w:sz="4" w:space="0" w:color="auto"/>
              <w:right w:val="single" w:sz="4" w:space="0" w:color="auto"/>
            </w:tcBorders>
            <w:shd w:val="clear" w:color="000000" w:fill="0070C0"/>
            <w:noWrap/>
            <w:vAlign w:val="center"/>
            <w:hideMark/>
          </w:tcPr>
          <w:p w14:paraId="1F34F1A5" w14:textId="77777777" w:rsidR="00A575ED" w:rsidRPr="004B465C" w:rsidRDefault="00A575ED" w:rsidP="00B80E50">
            <w:pPr>
              <w:jc w:val="center"/>
              <w:rPr>
                <w:rFonts w:asciiTheme="minorHAnsi" w:eastAsia="华文细黑" w:hAnsiTheme="minorHAnsi" w:cs="Arial"/>
                <w:b/>
                <w:bCs/>
                <w:color w:val="FFFFFF"/>
                <w:sz w:val="20"/>
                <w:szCs w:val="20"/>
              </w:rPr>
            </w:pPr>
            <w:r w:rsidRPr="004B465C">
              <w:rPr>
                <w:rFonts w:asciiTheme="minorHAnsi" w:eastAsia="华文细黑" w:hAnsiTheme="minorHAnsi" w:cs="Arial"/>
                <w:b/>
                <w:bCs/>
                <w:color w:val="FFFFFF"/>
                <w:sz w:val="20"/>
                <w:szCs w:val="20"/>
              </w:rPr>
              <w:t>2028</w:t>
            </w:r>
          </w:p>
        </w:tc>
        <w:tc>
          <w:tcPr>
            <w:tcW w:w="449" w:type="pct"/>
            <w:tcBorders>
              <w:top w:val="single" w:sz="4" w:space="0" w:color="auto"/>
              <w:left w:val="nil"/>
              <w:bottom w:val="single" w:sz="4" w:space="0" w:color="auto"/>
              <w:right w:val="single" w:sz="4" w:space="0" w:color="auto"/>
            </w:tcBorders>
            <w:shd w:val="clear" w:color="000000" w:fill="0070C0"/>
            <w:noWrap/>
            <w:vAlign w:val="center"/>
            <w:hideMark/>
          </w:tcPr>
          <w:p w14:paraId="4D26FDCA" w14:textId="77777777" w:rsidR="00A575ED" w:rsidRPr="004B465C" w:rsidRDefault="00A575ED" w:rsidP="00B80E50">
            <w:pPr>
              <w:jc w:val="center"/>
              <w:rPr>
                <w:rFonts w:asciiTheme="minorHAnsi" w:eastAsia="华文细黑" w:hAnsiTheme="minorHAnsi" w:cs="Arial"/>
                <w:b/>
                <w:bCs/>
                <w:color w:val="FFFFFF"/>
                <w:sz w:val="20"/>
                <w:szCs w:val="20"/>
              </w:rPr>
            </w:pPr>
            <w:r w:rsidRPr="004B465C">
              <w:rPr>
                <w:rFonts w:asciiTheme="minorHAnsi" w:eastAsia="华文细黑" w:hAnsiTheme="minorHAnsi" w:cs="Arial"/>
                <w:b/>
                <w:bCs/>
                <w:color w:val="FFFFFF"/>
                <w:sz w:val="20"/>
                <w:szCs w:val="20"/>
              </w:rPr>
              <w:t>2029</w:t>
            </w:r>
          </w:p>
        </w:tc>
        <w:tc>
          <w:tcPr>
            <w:tcW w:w="449" w:type="pct"/>
            <w:tcBorders>
              <w:top w:val="single" w:sz="4" w:space="0" w:color="auto"/>
              <w:left w:val="nil"/>
              <w:bottom w:val="single" w:sz="4" w:space="0" w:color="auto"/>
              <w:right w:val="single" w:sz="4" w:space="0" w:color="auto"/>
            </w:tcBorders>
            <w:shd w:val="clear" w:color="000000" w:fill="0070C0"/>
            <w:noWrap/>
            <w:vAlign w:val="center"/>
            <w:hideMark/>
          </w:tcPr>
          <w:p w14:paraId="6BE306B9" w14:textId="77777777" w:rsidR="00A575ED" w:rsidRPr="004B465C" w:rsidRDefault="00A575ED" w:rsidP="00B80E50">
            <w:pPr>
              <w:jc w:val="center"/>
              <w:rPr>
                <w:rFonts w:asciiTheme="minorHAnsi" w:eastAsia="华文细黑" w:hAnsiTheme="minorHAnsi" w:cs="Arial"/>
                <w:b/>
                <w:bCs/>
                <w:color w:val="FFFFFF"/>
                <w:sz w:val="20"/>
                <w:szCs w:val="20"/>
              </w:rPr>
            </w:pPr>
            <w:r w:rsidRPr="004B465C">
              <w:rPr>
                <w:rFonts w:asciiTheme="minorHAnsi" w:eastAsia="华文细黑" w:hAnsiTheme="minorHAnsi" w:cs="Arial"/>
                <w:b/>
                <w:bCs/>
                <w:color w:val="FFFFFF"/>
                <w:sz w:val="20"/>
                <w:szCs w:val="20"/>
              </w:rPr>
              <w:t>2030</w:t>
            </w:r>
          </w:p>
        </w:tc>
        <w:tc>
          <w:tcPr>
            <w:tcW w:w="449" w:type="pct"/>
            <w:tcBorders>
              <w:top w:val="single" w:sz="4" w:space="0" w:color="auto"/>
              <w:left w:val="nil"/>
              <w:bottom w:val="single" w:sz="4" w:space="0" w:color="auto"/>
              <w:right w:val="single" w:sz="4" w:space="0" w:color="auto"/>
            </w:tcBorders>
            <w:shd w:val="clear" w:color="000000" w:fill="0070C0"/>
            <w:noWrap/>
            <w:vAlign w:val="center"/>
            <w:hideMark/>
          </w:tcPr>
          <w:p w14:paraId="7F85C6F6" w14:textId="77777777" w:rsidR="00A575ED" w:rsidRPr="004B465C" w:rsidRDefault="00A575ED" w:rsidP="00B80E50">
            <w:pPr>
              <w:jc w:val="center"/>
              <w:rPr>
                <w:rFonts w:asciiTheme="minorHAnsi" w:eastAsia="华文细黑" w:hAnsiTheme="minorHAnsi" w:cs="Arial"/>
                <w:b/>
                <w:bCs/>
                <w:color w:val="FFFFFF"/>
                <w:sz w:val="20"/>
                <w:szCs w:val="20"/>
              </w:rPr>
            </w:pPr>
            <w:r w:rsidRPr="004B465C">
              <w:rPr>
                <w:rFonts w:asciiTheme="minorHAnsi" w:eastAsia="华文细黑" w:hAnsiTheme="minorHAnsi" w:cs="Arial"/>
                <w:b/>
                <w:bCs/>
                <w:color w:val="FFFFFF"/>
                <w:sz w:val="20"/>
                <w:szCs w:val="20"/>
              </w:rPr>
              <w:t>2031</w:t>
            </w:r>
          </w:p>
        </w:tc>
      </w:tr>
      <w:tr w:rsidR="00A575ED" w:rsidRPr="005A52C7" w14:paraId="1E07868A" w14:textId="77777777" w:rsidTr="00B80E50">
        <w:trPr>
          <w:trHeight w:val="312"/>
          <w:jc w:val="center"/>
        </w:trPr>
        <w:tc>
          <w:tcPr>
            <w:tcW w:w="794" w:type="pct"/>
            <w:tcBorders>
              <w:top w:val="nil"/>
              <w:left w:val="single" w:sz="4" w:space="0" w:color="auto"/>
              <w:bottom w:val="single" w:sz="4" w:space="0" w:color="auto"/>
              <w:right w:val="single" w:sz="4" w:space="0" w:color="auto"/>
            </w:tcBorders>
            <w:shd w:val="clear" w:color="000000" w:fill="D3DFEE"/>
            <w:noWrap/>
            <w:vAlign w:val="center"/>
            <w:hideMark/>
          </w:tcPr>
          <w:p w14:paraId="0113687B" w14:textId="77777777" w:rsidR="00A575ED" w:rsidRPr="004B465C" w:rsidRDefault="00A575ED" w:rsidP="00B80E50">
            <w:pPr>
              <w:jc w:val="both"/>
              <w:rPr>
                <w:rFonts w:asciiTheme="minorHAnsi" w:eastAsia="华文细黑" w:hAnsiTheme="minorHAnsi" w:cs="宋体"/>
                <w:b/>
                <w:bCs/>
                <w:color w:val="000000"/>
                <w:sz w:val="20"/>
                <w:szCs w:val="20"/>
              </w:rPr>
            </w:pPr>
            <w:r w:rsidRPr="004B465C">
              <w:rPr>
                <w:rFonts w:asciiTheme="minorHAnsi" w:eastAsia="华文细黑" w:hAnsiTheme="minorHAnsi" w:cs="宋体" w:hint="eastAsia"/>
                <w:b/>
                <w:bCs/>
                <w:color w:val="000000"/>
                <w:sz w:val="20"/>
                <w:szCs w:val="20"/>
              </w:rPr>
              <w:t>现金流入</w:t>
            </w:r>
          </w:p>
        </w:tc>
        <w:tc>
          <w:tcPr>
            <w:tcW w:w="607" w:type="pct"/>
            <w:tcBorders>
              <w:top w:val="nil"/>
              <w:left w:val="nil"/>
              <w:bottom w:val="single" w:sz="4" w:space="0" w:color="auto"/>
              <w:right w:val="single" w:sz="4" w:space="0" w:color="auto"/>
            </w:tcBorders>
            <w:shd w:val="clear" w:color="000000" w:fill="D3DFEE"/>
            <w:noWrap/>
            <w:vAlign w:val="center"/>
            <w:hideMark/>
          </w:tcPr>
          <w:p w14:paraId="609BD481" w14:textId="77777777" w:rsidR="00A575ED" w:rsidRPr="004B465C" w:rsidRDefault="00A575ED" w:rsidP="00B80E50">
            <w:pPr>
              <w:jc w:val="right"/>
              <w:rPr>
                <w:rFonts w:asciiTheme="minorHAnsi" w:eastAsia="华文细黑" w:hAnsiTheme="minorHAnsi" w:cs="Arial"/>
                <w:b/>
                <w:bCs/>
                <w:color w:val="000000"/>
                <w:sz w:val="20"/>
                <w:szCs w:val="20"/>
              </w:rPr>
            </w:pPr>
          </w:p>
        </w:tc>
        <w:tc>
          <w:tcPr>
            <w:tcW w:w="454" w:type="pct"/>
            <w:tcBorders>
              <w:top w:val="nil"/>
              <w:left w:val="nil"/>
              <w:bottom w:val="single" w:sz="4" w:space="0" w:color="auto"/>
              <w:right w:val="single" w:sz="4" w:space="0" w:color="auto"/>
            </w:tcBorders>
            <w:shd w:val="clear" w:color="000000" w:fill="D3DFEE"/>
            <w:noWrap/>
            <w:vAlign w:val="center"/>
            <w:hideMark/>
          </w:tcPr>
          <w:p w14:paraId="55343DF1" w14:textId="77777777" w:rsidR="00A575ED" w:rsidRPr="004B465C" w:rsidRDefault="00A575ED" w:rsidP="00B80E50">
            <w:pPr>
              <w:jc w:val="right"/>
              <w:rPr>
                <w:rFonts w:asciiTheme="minorHAnsi" w:eastAsia="华文细黑" w:hAnsiTheme="minorHAnsi" w:cs="Arial"/>
                <w:b/>
                <w:bCs/>
                <w:color w:val="000000"/>
                <w:sz w:val="20"/>
                <w:szCs w:val="20"/>
              </w:rPr>
            </w:pPr>
          </w:p>
        </w:tc>
        <w:tc>
          <w:tcPr>
            <w:tcW w:w="449" w:type="pct"/>
            <w:tcBorders>
              <w:top w:val="nil"/>
              <w:left w:val="nil"/>
              <w:bottom w:val="single" w:sz="4" w:space="0" w:color="auto"/>
              <w:right w:val="single" w:sz="4" w:space="0" w:color="auto"/>
            </w:tcBorders>
            <w:shd w:val="clear" w:color="000000" w:fill="D3DFEE"/>
            <w:noWrap/>
            <w:vAlign w:val="center"/>
            <w:hideMark/>
          </w:tcPr>
          <w:p w14:paraId="50392D20" w14:textId="77777777" w:rsidR="00A575ED" w:rsidRPr="004B465C" w:rsidRDefault="00A575ED" w:rsidP="00B80E50">
            <w:pPr>
              <w:jc w:val="right"/>
              <w:rPr>
                <w:rFonts w:asciiTheme="minorHAnsi" w:eastAsia="华文细黑" w:hAnsiTheme="minorHAnsi" w:cs="Arial"/>
                <w:b/>
                <w:bCs/>
                <w:color w:val="000000"/>
                <w:sz w:val="20"/>
                <w:szCs w:val="20"/>
              </w:rPr>
            </w:pPr>
          </w:p>
        </w:tc>
        <w:tc>
          <w:tcPr>
            <w:tcW w:w="449" w:type="pct"/>
            <w:tcBorders>
              <w:top w:val="nil"/>
              <w:left w:val="nil"/>
              <w:bottom w:val="single" w:sz="4" w:space="0" w:color="auto"/>
              <w:right w:val="single" w:sz="4" w:space="0" w:color="auto"/>
            </w:tcBorders>
            <w:shd w:val="clear" w:color="000000" w:fill="D3DFEE"/>
            <w:noWrap/>
            <w:vAlign w:val="center"/>
            <w:hideMark/>
          </w:tcPr>
          <w:p w14:paraId="3C851804" w14:textId="77777777" w:rsidR="00A575ED" w:rsidRPr="004B465C" w:rsidRDefault="00A575ED" w:rsidP="00B80E50">
            <w:pPr>
              <w:jc w:val="right"/>
              <w:rPr>
                <w:rFonts w:asciiTheme="minorHAnsi" w:eastAsia="华文细黑" w:hAnsiTheme="minorHAnsi" w:cs="Arial"/>
                <w:b/>
                <w:bCs/>
                <w:color w:val="000000"/>
                <w:sz w:val="20"/>
                <w:szCs w:val="20"/>
              </w:rPr>
            </w:pPr>
          </w:p>
        </w:tc>
        <w:tc>
          <w:tcPr>
            <w:tcW w:w="449" w:type="pct"/>
            <w:tcBorders>
              <w:top w:val="nil"/>
              <w:left w:val="nil"/>
              <w:bottom w:val="single" w:sz="4" w:space="0" w:color="auto"/>
              <w:right w:val="single" w:sz="4" w:space="0" w:color="auto"/>
            </w:tcBorders>
            <w:shd w:val="clear" w:color="000000" w:fill="D3DFEE"/>
            <w:noWrap/>
            <w:vAlign w:val="center"/>
            <w:hideMark/>
          </w:tcPr>
          <w:p w14:paraId="58F720CD" w14:textId="77777777" w:rsidR="00A575ED" w:rsidRPr="004B465C" w:rsidRDefault="00A575ED" w:rsidP="00B80E50">
            <w:pPr>
              <w:jc w:val="right"/>
              <w:rPr>
                <w:rFonts w:asciiTheme="minorHAnsi" w:eastAsia="华文细黑" w:hAnsiTheme="minorHAnsi" w:cs="Arial"/>
                <w:b/>
                <w:bCs/>
                <w:color w:val="000000"/>
                <w:sz w:val="20"/>
                <w:szCs w:val="20"/>
              </w:rPr>
            </w:pPr>
          </w:p>
        </w:tc>
        <w:tc>
          <w:tcPr>
            <w:tcW w:w="449" w:type="pct"/>
            <w:tcBorders>
              <w:top w:val="nil"/>
              <w:left w:val="nil"/>
              <w:bottom w:val="single" w:sz="4" w:space="0" w:color="auto"/>
              <w:right w:val="single" w:sz="4" w:space="0" w:color="auto"/>
            </w:tcBorders>
            <w:shd w:val="clear" w:color="000000" w:fill="D3DFEE"/>
            <w:noWrap/>
            <w:vAlign w:val="center"/>
            <w:hideMark/>
          </w:tcPr>
          <w:p w14:paraId="1BB24007" w14:textId="77777777" w:rsidR="00A575ED" w:rsidRPr="004B465C" w:rsidRDefault="00A575ED" w:rsidP="00B80E50">
            <w:pPr>
              <w:jc w:val="right"/>
              <w:rPr>
                <w:rFonts w:asciiTheme="minorHAnsi" w:eastAsia="华文细黑" w:hAnsiTheme="minorHAnsi" w:cs="Arial"/>
                <w:b/>
                <w:bCs/>
                <w:color w:val="000000"/>
                <w:sz w:val="20"/>
                <w:szCs w:val="20"/>
              </w:rPr>
            </w:pPr>
          </w:p>
        </w:tc>
        <w:tc>
          <w:tcPr>
            <w:tcW w:w="449" w:type="pct"/>
            <w:tcBorders>
              <w:top w:val="nil"/>
              <w:left w:val="nil"/>
              <w:bottom w:val="single" w:sz="4" w:space="0" w:color="auto"/>
              <w:right w:val="single" w:sz="4" w:space="0" w:color="auto"/>
            </w:tcBorders>
            <w:shd w:val="clear" w:color="000000" w:fill="D3DFEE"/>
            <w:noWrap/>
            <w:vAlign w:val="center"/>
            <w:hideMark/>
          </w:tcPr>
          <w:p w14:paraId="204F0112" w14:textId="77777777" w:rsidR="00A575ED" w:rsidRPr="004B465C" w:rsidRDefault="00A575ED" w:rsidP="00B80E50">
            <w:pPr>
              <w:jc w:val="right"/>
              <w:rPr>
                <w:rFonts w:asciiTheme="minorHAnsi" w:eastAsia="华文细黑" w:hAnsiTheme="minorHAnsi" w:cs="Arial"/>
                <w:b/>
                <w:bCs/>
                <w:color w:val="000000"/>
                <w:sz w:val="20"/>
                <w:szCs w:val="20"/>
              </w:rPr>
            </w:pPr>
          </w:p>
        </w:tc>
        <w:tc>
          <w:tcPr>
            <w:tcW w:w="449" w:type="pct"/>
            <w:tcBorders>
              <w:top w:val="nil"/>
              <w:left w:val="nil"/>
              <w:bottom w:val="single" w:sz="4" w:space="0" w:color="auto"/>
              <w:right w:val="single" w:sz="4" w:space="0" w:color="auto"/>
            </w:tcBorders>
            <w:shd w:val="clear" w:color="000000" w:fill="D3DFEE"/>
            <w:noWrap/>
            <w:vAlign w:val="center"/>
            <w:hideMark/>
          </w:tcPr>
          <w:p w14:paraId="11E8CFAE" w14:textId="77777777" w:rsidR="00A575ED" w:rsidRPr="004B465C" w:rsidRDefault="00A575ED" w:rsidP="00B80E50">
            <w:pPr>
              <w:jc w:val="right"/>
              <w:rPr>
                <w:rFonts w:asciiTheme="minorHAnsi" w:eastAsia="华文细黑" w:hAnsiTheme="minorHAnsi" w:cs="Arial"/>
                <w:b/>
                <w:bCs/>
                <w:color w:val="000000"/>
                <w:sz w:val="20"/>
                <w:szCs w:val="20"/>
              </w:rPr>
            </w:pPr>
          </w:p>
        </w:tc>
        <w:tc>
          <w:tcPr>
            <w:tcW w:w="449" w:type="pct"/>
            <w:tcBorders>
              <w:top w:val="nil"/>
              <w:left w:val="nil"/>
              <w:bottom w:val="single" w:sz="4" w:space="0" w:color="auto"/>
              <w:right w:val="single" w:sz="4" w:space="0" w:color="auto"/>
            </w:tcBorders>
            <w:shd w:val="clear" w:color="000000" w:fill="D3DFEE"/>
            <w:noWrap/>
            <w:vAlign w:val="center"/>
            <w:hideMark/>
          </w:tcPr>
          <w:p w14:paraId="2B740C45" w14:textId="77777777" w:rsidR="00A575ED" w:rsidRPr="004B465C" w:rsidRDefault="00A575ED" w:rsidP="00B80E50">
            <w:pPr>
              <w:jc w:val="right"/>
              <w:rPr>
                <w:rFonts w:asciiTheme="minorHAnsi" w:eastAsia="华文细黑" w:hAnsiTheme="minorHAnsi" w:cs="Arial"/>
                <w:b/>
                <w:bCs/>
                <w:color w:val="000000"/>
                <w:sz w:val="20"/>
                <w:szCs w:val="20"/>
              </w:rPr>
            </w:pPr>
          </w:p>
        </w:tc>
      </w:tr>
      <w:tr w:rsidR="00A575ED" w:rsidRPr="005A52C7" w14:paraId="0443F91F" w14:textId="77777777" w:rsidTr="00B80E50">
        <w:trPr>
          <w:trHeight w:val="312"/>
          <w:jc w:val="center"/>
        </w:trPr>
        <w:tc>
          <w:tcPr>
            <w:tcW w:w="794" w:type="pct"/>
            <w:tcBorders>
              <w:top w:val="nil"/>
              <w:left w:val="single" w:sz="4" w:space="0" w:color="auto"/>
              <w:bottom w:val="single" w:sz="4" w:space="0" w:color="auto"/>
              <w:right w:val="single" w:sz="4" w:space="0" w:color="auto"/>
            </w:tcBorders>
            <w:shd w:val="clear" w:color="auto" w:fill="auto"/>
            <w:noWrap/>
            <w:vAlign w:val="center"/>
            <w:hideMark/>
          </w:tcPr>
          <w:p w14:paraId="21C11CF3" w14:textId="77777777" w:rsidR="00A575ED" w:rsidRPr="004B465C" w:rsidRDefault="00A575ED" w:rsidP="00B80E50">
            <w:pPr>
              <w:jc w:val="both"/>
              <w:rPr>
                <w:rFonts w:asciiTheme="minorHAnsi" w:eastAsia="华文细黑" w:hAnsiTheme="minorHAnsi" w:cs="宋体"/>
                <w:color w:val="000000"/>
                <w:sz w:val="20"/>
                <w:szCs w:val="20"/>
              </w:rPr>
            </w:pPr>
            <w:r>
              <w:rPr>
                <w:rFonts w:asciiTheme="minorHAnsi" w:eastAsia="华文细黑" w:hAnsiTheme="minorHAnsi" w:cs="宋体" w:hint="eastAsia"/>
                <w:color w:val="000000"/>
                <w:sz w:val="20"/>
                <w:szCs w:val="20"/>
              </w:rPr>
              <w:t>自筹资金</w:t>
            </w:r>
            <w:r w:rsidRPr="004B465C">
              <w:rPr>
                <w:rFonts w:asciiTheme="minorHAnsi" w:eastAsia="华文细黑" w:hAnsiTheme="minorHAnsi" w:cs="宋体" w:hint="eastAsia"/>
                <w:color w:val="000000"/>
                <w:sz w:val="20"/>
                <w:szCs w:val="20"/>
              </w:rPr>
              <w:t>流入</w:t>
            </w:r>
          </w:p>
        </w:tc>
        <w:tc>
          <w:tcPr>
            <w:tcW w:w="607" w:type="pct"/>
            <w:tcBorders>
              <w:top w:val="nil"/>
              <w:left w:val="nil"/>
              <w:bottom w:val="single" w:sz="4" w:space="0" w:color="auto"/>
              <w:right w:val="single" w:sz="4" w:space="0" w:color="auto"/>
            </w:tcBorders>
            <w:shd w:val="clear" w:color="auto" w:fill="auto"/>
            <w:noWrap/>
            <w:vAlign w:val="center"/>
            <w:hideMark/>
          </w:tcPr>
          <w:p w14:paraId="08804E54" w14:textId="77777777" w:rsidR="00A575ED" w:rsidRPr="004B465C" w:rsidRDefault="00A575ED" w:rsidP="00B80E50">
            <w:pPr>
              <w:jc w:val="right"/>
              <w:rPr>
                <w:rFonts w:asciiTheme="minorHAnsi" w:eastAsia="华文细黑" w:hAnsiTheme="minorHAnsi" w:cs="Arial"/>
                <w:color w:val="000000"/>
                <w:sz w:val="20"/>
                <w:szCs w:val="20"/>
              </w:rPr>
            </w:pPr>
            <w:r w:rsidRPr="00906AD3">
              <w:rPr>
                <w:rFonts w:asciiTheme="minorHAnsi" w:eastAsia="华文细黑" w:hAnsiTheme="minorHAnsi" w:cs="Arial"/>
                <w:color w:val="000000"/>
                <w:sz w:val="20"/>
                <w:szCs w:val="20"/>
              </w:rPr>
              <w:t>10,936.87</w:t>
            </w:r>
          </w:p>
        </w:tc>
        <w:tc>
          <w:tcPr>
            <w:tcW w:w="454" w:type="pct"/>
            <w:tcBorders>
              <w:top w:val="nil"/>
              <w:left w:val="nil"/>
              <w:bottom w:val="single" w:sz="4" w:space="0" w:color="auto"/>
              <w:right w:val="single" w:sz="4" w:space="0" w:color="auto"/>
            </w:tcBorders>
            <w:shd w:val="clear" w:color="auto" w:fill="auto"/>
            <w:noWrap/>
            <w:vAlign w:val="center"/>
            <w:hideMark/>
          </w:tcPr>
          <w:p w14:paraId="3D499AE6" w14:textId="77777777" w:rsidR="00A575ED" w:rsidRPr="004B465C" w:rsidRDefault="00A575ED" w:rsidP="00B80E50">
            <w:pPr>
              <w:jc w:val="right"/>
              <w:rPr>
                <w:rFonts w:asciiTheme="minorHAnsi" w:eastAsia="华文细黑" w:hAnsiTheme="minorHAnsi" w:cs="Arial"/>
                <w:color w:val="000000"/>
                <w:sz w:val="20"/>
                <w:szCs w:val="20"/>
              </w:rPr>
            </w:pPr>
            <w:r w:rsidRPr="00D94D6F">
              <w:rPr>
                <w:rFonts w:asciiTheme="minorHAnsi" w:eastAsia="华文细黑" w:hAnsiTheme="minorHAnsi" w:cs="Arial"/>
                <w:color w:val="000000"/>
                <w:sz w:val="20"/>
                <w:szCs w:val="20"/>
              </w:rPr>
              <w:t>36,537.38</w:t>
            </w:r>
          </w:p>
        </w:tc>
        <w:tc>
          <w:tcPr>
            <w:tcW w:w="449" w:type="pct"/>
            <w:tcBorders>
              <w:top w:val="nil"/>
              <w:left w:val="nil"/>
              <w:bottom w:val="single" w:sz="4" w:space="0" w:color="auto"/>
              <w:right w:val="single" w:sz="4" w:space="0" w:color="auto"/>
            </w:tcBorders>
            <w:shd w:val="clear" w:color="auto" w:fill="auto"/>
            <w:noWrap/>
            <w:vAlign w:val="center"/>
            <w:hideMark/>
          </w:tcPr>
          <w:p w14:paraId="4BC82DBD" w14:textId="77777777" w:rsidR="00A575ED" w:rsidRPr="004B465C" w:rsidRDefault="00A575ED" w:rsidP="00B80E50">
            <w:pPr>
              <w:jc w:val="right"/>
              <w:rPr>
                <w:rFonts w:asciiTheme="minorHAnsi" w:eastAsia="华文细黑" w:hAnsiTheme="minorHAnsi" w:cs="Arial"/>
                <w:color w:val="000000"/>
                <w:sz w:val="20"/>
                <w:szCs w:val="20"/>
              </w:rPr>
            </w:pPr>
            <w:r w:rsidRPr="00D94D6F">
              <w:rPr>
                <w:rFonts w:asciiTheme="minorHAnsi" w:eastAsia="华文细黑" w:hAnsiTheme="minorHAnsi" w:cs="Arial"/>
                <w:color w:val="000000"/>
                <w:sz w:val="20"/>
                <w:szCs w:val="20"/>
              </w:rPr>
              <w:t>6,929.49</w:t>
            </w:r>
          </w:p>
        </w:tc>
        <w:tc>
          <w:tcPr>
            <w:tcW w:w="449" w:type="pct"/>
            <w:tcBorders>
              <w:top w:val="nil"/>
              <w:left w:val="nil"/>
              <w:bottom w:val="single" w:sz="4" w:space="0" w:color="auto"/>
              <w:right w:val="single" w:sz="4" w:space="0" w:color="auto"/>
            </w:tcBorders>
            <w:shd w:val="clear" w:color="auto" w:fill="auto"/>
            <w:noWrap/>
            <w:vAlign w:val="center"/>
            <w:hideMark/>
          </w:tcPr>
          <w:p w14:paraId="598F90BD"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73B07DC5"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54D5E9F9"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2D7DD597"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4F77DD6B"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44762A5D" w14:textId="77777777" w:rsidR="00A575ED" w:rsidRPr="004B465C" w:rsidRDefault="00A575ED" w:rsidP="00B80E50">
            <w:pPr>
              <w:jc w:val="right"/>
              <w:rPr>
                <w:rFonts w:asciiTheme="minorHAnsi" w:eastAsia="华文细黑" w:hAnsiTheme="minorHAnsi" w:cs="Arial"/>
                <w:color w:val="000000"/>
                <w:sz w:val="20"/>
                <w:szCs w:val="20"/>
              </w:rPr>
            </w:pPr>
          </w:p>
        </w:tc>
      </w:tr>
      <w:tr w:rsidR="00A575ED" w:rsidRPr="005A52C7" w14:paraId="3230BAB8" w14:textId="77777777" w:rsidTr="00B80E50">
        <w:trPr>
          <w:trHeight w:val="312"/>
          <w:jc w:val="center"/>
        </w:trPr>
        <w:tc>
          <w:tcPr>
            <w:tcW w:w="794" w:type="pct"/>
            <w:tcBorders>
              <w:top w:val="nil"/>
              <w:left w:val="single" w:sz="4" w:space="0" w:color="auto"/>
              <w:bottom w:val="single" w:sz="4" w:space="0" w:color="auto"/>
              <w:right w:val="single" w:sz="4" w:space="0" w:color="auto"/>
            </w:tcBorders>
            <w:shd w:val="clear" w:color="auto" w:fill="auto"/>
            <w:noWrap/>
            <w:vAlign w:val="center"/>
            <w:hideMark/>
          </w:tcPr>
          <w:p w14:paraId="3EB8CABE" w14:textId="77777777" w:rsidR="00A575ED" w:rsidRPr="004B465C" w:rsidRDefault="00A575ED" w:rsidP="00B80E50">
            <w:pPr>
              <w:jc w:val="both"/>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债券资金流入</w:t>
            </w:r>
          </w:p>
        </w:tc>
        <w:tc>
          <w:tcPr>
            <w:tcW w:w="607" w:type="pct"/>
            <w:tcBorders>
              <w:top w:val="nil"/>
              <w:left w:val="nil"/>
              <w:bottom w:val="single" w:sz="4" w:space="0" w:color="auto"/>
              <w:right w:val="single" w:sz="4" w:space="0" w:color="auto"/>
            </w:tcBorders>
            <w:shd w:val="clear" w:color="auto" w:fill="auto"/>
            <w:noWrap/>
            <w:vAlign w:val="center"/>
            <w:hideMark/>
          </w:tcPr>
          <w:p w14:paraId="5246A281" w14:textId="77777777" w:rsidR="00A575ED" w:rsidRPr="004B465C" w:rsidRDefault="00A575ED" w:rsidP="00B80E50">
            <w:pPr>
              <w:jc w:val="right"/>
              <w:rPr>
                <w:rFonts w:asciiTheme="minorHAnsi" w:eastAsia="华文细黑" w:hAnsiTheme="minorHAnsi" w:cs="Arial"/>
                <w:color w:val="000000"/>
                <w:sz w:val="20"/>
                <w:szCs w:val="20"/>
              </w:rPr>
            </w:pPr>
            <w:r w:rsidRPr="00906AD3">
              <w:rPr>
                <w:rFonts w:asciiTheme="minorHAnsi" w:eastAsia="华文细黑" w:hAnsiTheme="minorHAnsi" w:cs="Arial"/>
                <w:color w:val="000000"/>
                <w:sz w:val="20"/>
                <w:szCs w:val="20"/>
              </w:rPr>
              <w:t>65,040.00</w:t>
            </w:r>
          </w:p>
        </w:tc>
        <w:tc>
          <w:tcPr>
            <w:tcW w:w="454" w:type="pct"/>
            <w:tcBorders>
              <w:top w:val="nil"/>
              <w:left w:val="nil"/>
              <w:bottom w:val="single" w:sz="4" w:space="0" w:color="auto"/>
              <w:right w:val="single" w:sz="4" w:space="0" w:color="auto"/>
            </w:tcBorders>
            <w:shd w:val="clear" w:color="auto" w:fill="auto"/>
            <w:noWrap/>
            <w:vAlign w:val="center"/>
            <w:hideMark/>
          </w:tcPr>
          <w:p w14:paraId="7AD513A3"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3,500.00</w:t>
            </w:r>
          </w:p>
        </w:tc>
        <w:tc>
          <w:tcPr>
            <w:tcW w:w="449" w:type="pct"/>
            <w:tcBorders>
              <w:top w:val="nil"/>
              <w:left w:val="nil"/>
              <w:bottom w:val="single" w:sz="4" w:space="0" w:color="auto"/>
              <w:right w:val="single" w:sz="4" w:space="0" w:color="auto"/>
            </w:tcBorders>
            <w:shd w:val="clear" w:color="auto" w:fill="auto"/>
            <w:noWrap/>
            <w:vAlign w:val="center"/>
            <w:hideMark/>
          </w:tcPr>
          <w:p w14:paraId="5B5F602E"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74F9AA3C"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2904C4B9"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36FBA9AD"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6FA91BB9"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45998C28"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2EA2AF6D" w14:textId="77777777" w:rsidR="00A575ED" w:rsidRPr="004B465C" w:rsidRDefault="00A575ED" w:rsidP="00B80E50">
            <w:pPr>
              <w:jc w:val="right"/>
              <w:rPr>
                <w:rFonts w:asciiTheme="minorHAnsi" w:eastAsia="华文细黑" w:hAnsiTheme="minorHAnsi" w:cs="Arial"/>
                <w:color w:val="000000"/>
                <w:sz w:val="20"/>
                <w:szCs w:val="20"/>
              </w:rPr>
            </w:pPr>
          </w:p>
        </w:tc>
      </w:tr>
      <w:tr w:rsidR="00A575ED" w:rsidRPr="005A52C7" w14:paraId="391E5FD3" w14:textId="77777777" w:rsidTr="00B80E50">
        <w:trPr>
          <w:trHeight w:val="312"/>
          <w:jc w:val="center"/>
        </w:trPr>
        <w:tc>
          <w:tcPr>
            <w:tcW w:w="794" w:type="pct"/>
            <w:tcBorders>
              <w:top w:val="nil"/>
              <w:left w:val="single" w:sz="4" w:space="0" w:color="auto"/>
              <w:bottom w:val="single" w:sz="4" w:space="0" w:color="auto"/>
              <w:right w:val="single" w:sz="4" w:space="0" w:color="auto"/>
            </w:tcBorders>
            <w:shd w:val="clear" w:color="auto" w:fill="auto"/>
            <w:noWrap/>
            <w:vAlign w:val="center"/>
            <w:hideMark/>
          </w:tcPr>
          <w:p w14:paraId="127801AF" w14:textId="77777777" w:rsidR="00A575ED" w:rsidRPr="004B465C" w:rsidRDefault="00A575ED" w:rsidP="00B80E50">
            <w:pPr>
              <w:jc w:val="both"/>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运营期现金流入</w:t>
            </w:r>
          </w:p>
        </w:tc>
        <w:tc>
          <w:tcPr>
            <w:tcW w:w="607" w:type="pct"/>
            <w:tcBorders>
              <w:top w:val="nil"/>
              <w:left w:val="nil"/>
              <w:bottom w:val="single" w:sz="4" w:space="0" w:color="auto"/>
              <w:right w:val="single" w:sz="4" w:space="0" w:color="auto"/>
            </w:tcBorders>
            <w:shd w:val="clear" w:color="auto" w:fill="auto"/>
            <w:noWrap/>
            <w:vAlign w:val="center"/>
            <w:hideMark/>
          </w:tcPr>
          <w:p w14:paraId="20E54C13"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w:t>
            </w:r>
          </w:p>
        </w:tc>
        <w:tc>
          <w:tcPr>
            <w:tcW w:w="454" w:type="pct"/>
            <w:tcBorders>
              <w:top w:val="nil"/>
              <w:left w:val="nil"/>
              <w:bottom w:val="single" w:sz="4" w:space="0" w:color="auto"/>
              <w:right w:val="single" w:sz="4" w:space="0" w:color="auto"/>
            </w:tcBorders>
            <w:shd w:val="clear" w:color="auto" w:fill="auto"/>
            <w:noWrap/>
            <w:vAlign w:val="center"/>
            <w:hideMark/>
          </w:tcPr>
          <w:p w14:paraId="17A442E8"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13A77522"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8,824.91</w:t>
            </w:r>
          </w:p>
        </w:tc>
        <w:tc>
          <w:tcPr>
            <w:tcW w:w="449" w:type="pct"/>
            <w:tcBorders>
              <w:top w:val="nil"/>
              <w:left w:val="nil"/>
              <w:bottom w:val="single" w:sz="4" w:space="0" w:color="auto"/>
              <w:right w:val="single" w:sz="4" w:space="0" w:color="auto"/>
            </w:tcBorders>
            <w:shd w:val="clear" w:color="auto" w:fill="auto"/>
            <w:noWrap/>
            <w:vAlign w:val="center"/>
            <w:hideMark/>
          </w:tcPr>
          <w:p w14:paraId="1A454B55"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8,824.91</w:t>
            </w:r>
          </w:p>
        </w:tc>
        <w:tc>
          <w:tcPr>
            <w:tcW w:w="449" w:type="pct"/>
            <w:tcBorders>
              <w:top w:val="nil"/>
              <w:left w:val="nil"/>
              <w:bottom w:val="single" w:sz="4" w:space="0" w:color="auto"/>
              <w:right w:val="single" w:sz="4" w:space="0" w:color="auto"/>
            </w:tcBorders>
            <w:shd w:val="clear" w:color="auto" w:fill="auto"/>
            <w:noWrap/>
            <w:vAlign w:val="center"/>
            <w:hideMark/>
          </w:tcPr>
          <w:p w14:paraId="6F67B545"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8,824.91</w:t>
            </w:r>
          </w:p>
        </w:tc>
        <w:tc>
          <w:tcPr>
            <w:tcW w:w="449" w:type="pct"/>
            <w:tcBorders>
              <w:top w:val="nil"/>
              <w:left w:val="nil"/>
              <w:bottom w:val="single" w:sz="4" w:space="0" w:color="auto"/>
              <w:right w:val="single" w:sz="4" w:space="0" w:color="auto"/>
            </w:tcBorders>
            <w:shd w:val="clear" w:color="auto" w:fill="auto"/>
            <w:noWrap/>
            <w:vAlign w:val="center"/>
            <w:hideMark/>
          </w:tcPr>
          <w:p w14:paraId="78A21D83"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8,824.91</w:t>
            </w:r>
          </w:p>
        </w:tc>
        <w:tc>
          <w:tcPr>
            <w:tcW w:w="449" w:type="pct"/>
            <w:tcBorders>
              <w:top w:val="nil"/>
              <w:left w:val="nil"/>
              <w:bottom w:val="single" w:sz="4" w:space="0" w:color="auto"/>
              <w:right w:val="single" w:sz="4" w:space="0" w:color="auto"/>
            </w:tcBorders>
            <w:shd w:val="clear" w:color="auto" w:fill="auto"/>
            <w:noWrap/>
            <w:vAlign w:val="center"/>
            <w:hideMark/>
          </w:tcPr>
          <w:p w14:paraId="7E5317C2"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8,824.91</w:t>
            </w:r>
          </w:p>
        </w:tc>
        <w:tc>
          <w:tcPr>
            <w:tcW w:w="449" w:type="pct"/>
            <w:tcBorders>
              <w:top w:val="nil"/>
              <w:left w:val="nil"/>
              <w:bottom w:val="single" w:sz="4" w:space="0" w:color="auto"/>
              <w:right w:val="single" w:sz="4" w:space="0" w:color="auto"/>
            </w:tcBorders>
            <w:shd w:val="clear" w:color="auto" w:fill="auto"/>
            <w:noWrap/>
            <w:vAlign w:val="center"/>
            <w:hideMark/>
          </w:tcPr>
          <w:p w14:paraId="54C36057"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8,824.91</w:t>
            </w:r>
          </w:p>
        </w:tc>
        <w:tc>
          <w:tcPr>
            <w:tcW w:w="449" w:type="pct"/>
            <w:tcBorders>
              <w:top w:val="nil"/>
              <w:left w:val="nil"/>
              <w:bottom w:val="single" w:sz="4" w:space="0" w:color="auto"/>
              <w:right w:val="single" w:sz="4" w:space="0" w:color="auto"/>
            </w:tcBorders>
            <w:shd w:val="clear" w:color="auto" w:fill="auto"/>
            <w:noWrap/>
            <w:vAlign w:val="center"/>
            <w:hideMark/>
          </w:tcPr>
          <w:p w14:paraId="6653D4FA"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8,824.91</w:t>
            </w:r>
          </w:p>
        </w:tc>
      </w:tr>
      <w:tr w:rsidR="00A575ED" w:rsidRPr="005A52C7" w14:paraId="5C529F0C" w14:textId="77777777" w:rsidTr="00B80E50">
        <w:trPr>
          <w:trHeight w:val="312"/>
          <w:jc w:val="center"/>
        </w:trPr>
        <w:tc>
          <w:tcPr>
            <w:tcW w:w="794" w:type="pct"/>
            <w:tcBorders>
              <w:top w:val="nil"/>
              <w:left w:val="single" w:sz="4" w:space="0" w:color="auto"/>
              <w:bottom w:val="single" w:sz="4" w:space="0" w:color="auto"/>
              <w:right w:val="single" w:sz="4" w:space="0" w:color="auto"/>
            </w:tcBorders>
            <w:shd w:val="clear" w:color="auto" w:fill="auto"/>
            <w:noWrap/>
            <w:vAlign w:val="center"/>
            <w:hideMark/>
          </w:tcPr>
          <w:p w14:paraId="5D4EF5CC" w14:textId="77777777" w:rsidR="00A575ED" w:rsidRPr="004B465C" w:rsidRDefault="00A575ED" w:rsidP="00B80E50">
            <w:pPr>
              <w:jc w:val="both"/>
              <w:rPr>
                <w:rFonts w:asciiTheme="minorHAnsi" w:eastAsia="华文细黑" w:hAnsiTheme="minorHAnsi" w:cs="宋体"/>
                <w:b/>
                <w:bCs/>
                <w:color w:val="000000"/>
                <w:sz w:val="20"/>
                <w:szCs w:val="20"/>
              </w:rPr>
            </w:pPr>
            <w:r w:rsidRPr="004B465C">
              <w:rPr>
                <w:rFonts w:asciiTheme="minorHAnsi" w:eastAsia="华文细黑" w:hAnsiTheme="minorHAnsi" w:cs="宋体" w:hint="eastAsia"/>
                <w:b/>
                <w:bCs/>
                <w:color w:val="000000"/>
                <w:sz w:val="20"/>
                <w:szCs w:val="20"/>
              </w:rPr>
              <w:t>现金流入总额</w:t>
            </w:r>
          </w:p>
        </w:tc>
        <w:tc>
          <w:tcPr>
            <w:tcW w:w="607" w:type="pct"/>
            <w:tcBorders>
              <w:top w:val="nil"/>
              <w:left w:val="nil"/>
              <w:bottom w:val="single" w:sz="4" w:space="0" w:color="auto"/>
              <w:right w:val="single" w:sz="4" w:space="0" w:color="auto"/>
            </w:tcBorders>
            <w:shd w:val="clear" w:color="auto" w:fill="auto"/>
            <w:noWrap/>
            <w:vAlign w:val="center"/>
            <w:hideMark/>
          </w:tcPr>
          <w:p w14:paraId="39386C46" w14:textId="77777777" w:rsidR="00A575ED" w:rsidRPr="004B465C" w:rsidRDefault="00A575ED" w:rsidP="00B80E50">
            <w:pPr>
              <w:jc w:val="right"/>
              <w:rPr>
                <w:rFonts w:asciiTheme="minorHAnsi" w:eastAsia="华文细黑" w:hAnsiTheme="minorHAnsi" w:cs="Arial"/>
                <w:b/>
                <w:bCs/>
                <w:color w:val="000000"/>
                <w:sz w:val="20"/>
                <w:szCs w:val="20"/>
              </w:rPr>
            </w:pPr>
            <w:r w:rsidRPr="00906AD3">
              <w:rPr>
                <w:rFonts w:asciiTheme="minorHAnsi" w:eastAsia="华文细黑" w:hAnsiTheme="minorHAnsi" w:cs="Arial"/>
                <w:b/>
                <w:bCs/>
                <w:color w:val="000000"/>
                <w:sz w:val="20"/>
                <w:szCs w:val="20"/>
              </w:rPr>
              <w:t>75,976.87</w:t>
            </w:r>
          </w:p>
        </w:tc>
        <w:tc>
          <w:tcPr>
            <w:tcW w:w="454" w:type="pct"/>
            <w:tcBorders>
              <w:top w:val="nil"/>
              <w:left w:val="nil"/>
              <w:bottom w:val="single" w:sz="4" w:space="0" w:color="auto"/>
              <w:right w:val="single" w:sz="4" w:space="0" w:color="auto"/>
            </w:tcBorders>
            <w:shd w:val="clear" w:color="auto" w:fill="auto"/>
            <w:noWrap/>
            <w:vAlign w:val="center"/>
            <w:hideMark/>
          </w:tcPr>
          <w:p w14:paraId="449E991D" w14:textId="77777777" w:rsidR="00A575ED" w:rsidRPr="004B465C" w:rsidRDefault="00A575ED" w:rsidP="00B80E50">
            <w:pPr>
              <w:jc w:val="right"/>
              <w:rPr>
                <w:rFonts w:asciiTheme="minorHAnsi" w:eastAsia="华文细黑" w:hAnsiTheme="minorHAnsi" w:cs="Arial"/>
                <w:b/>
                <w:bCs/>
                <w:color w:val="000000"/>
                <w:sz w:val="20"/>
                <w:szCs w:val="20"/>
              </w:rPr>
            </w:pPr>
            <w:r w:rsidRPr="00D94D6F">
              <w:rPr>
                <w:rFonts w:asciiTheme="minorHAnsi" w:eastAsia="华文细黑" w:hAnsiTheme="minorHAnsi" w:cs="Arial"/>
                <w:b/>
                <w:bCs/>
                <w:color w:val="000000"/>
                <w:sz w:val="20"/>
                <w:szCs w:val="20"/>
              </w:rPr>
              <w:t>40,037.38</w:t>
            </w:r>
          </w:p>
        </w:tc>
        <w:tc>
          <w:tcPr>
            <w:tcW w:w="449" w:type="pct"/>
            <w:tcBorders>
              <w:top w:val="nil"/>
              <w:left w:val="nil"/>
              <w:bottom w:val="single" w:sz="4" w:space="0" w:color="auto"/>
              <w:right w:val="single" w:sz="4" w:space="0" w:color="auto"/>
            </w:tcBorders>
            <w:shd w:val="clear" w:color="auto" w:fill="auto"/>
            <w:noWrap/>
            <w:vAlign w:val="center"/>
            <w:hideMark/>
          </w:tcPr>
          <w:p w14:paraId="1364C5A7" w14:textId="77777777" w:rsidR="00A575ED" w:rsidRPr="004B465C" w:rsidRDefault="00A575ED" w:rsidP="00B80E50">
            <w:pPr>
              <w:jc w:val="right"/>
              <w:rPr>
                <w:rFonts w:asciiTheme="minorHAnsi" w:eastAsia="华文细黑" w:hAnsiTheme="minorHAnsi" w:cs="Arial"/>
                <w:b/>
                <w:bCs/>
                <w:color w:val="000000"/>
                <w:sz w:val="20"/>
                <w:szCs w:val="20"/>
              </w:rPr>
            </w:pPr>
            <w:r w:rsidRPr="00D94D6F">
              <w:rPr>
                <w:rFonts w:asciiTheme="minorHAnsi" w:eastAsia="华文细黑" w:hAnsiTheme="minorHAnsi" w:cs="Arial"/>
                <w:b/>
                <w:bCs/>
                <w:color w:val="000000"/>
                <w:sz w:val="20"/>
                <w:szCs w:val="20"/>
              </w:rPr>
              <w:t>15,754.40</w:t>
            </w:r>
          </w:p>
        </w:tc>
        <w:tc>
          <w:tcPr>
            <w:tcW w:w="449" w:type="pct"/>
            <w:tcBorders>
              <w:top w:val="nil"/>
              <w:left w:val="nil"/>
              <w:bottom w:val="single" w:sz="4" w:space="0" w:color="auto"/>
              <w:right w:val="single" w:sz="4" w:space="0" w:color="auto"/>
            </w:tcBorders>
            <w:shd w:val="clear" w:color="auto" w:fill="auto"/>
            <w:noWrap/>
            <w:vAlign w:val="center"/>
            <w:hideMark/>
          </w:tcPr>
          <w:p w14:paraId="1BFF6286" w14:textId="77777777" w:rsidR="00A575ED" w:rsidRPr="004B465C" w:rsidRDefault="00A575ED" w:rsidP="00B80E50">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8,824.91</w:t>
            </w:r>
          </w:p>
        </w:tc>
        <w:tc>
          <w:tcPr>
            <w:tcW w:w="449" w:type="pct"/>
            <w:tcBorders>
              <w:top w:val="nil"/>
              <w:left w:val="nil"/>
              <w:bottom w:val="single" w:sz="4" w:space="0" w:color="auto"/>
              <w:right w:val="single" w:sz="4" w:space="0" w:color="auto"/>
            </w:tcBorders>
            <w:shd w:val="clear" w:color="auto" w:fill="auto"/>
            <w:noWrap/>
            <w:vAlign w:val="center"/>
            <w:hideMark/>
          </w:tcPr>
          <w:p w14:paraId="2F7373C4" w14:textId="77777777" w:rsidR="00A575ED" w:rsidRPr="004B465C" w:rsidRDefault="00A575ED" w:rsidP="00B80E50">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8,824.91</w:t>
            </w:r>
          </w:p>
        </w:tc>
        <w:tc>
          <w:tcPr>
            <w:tcW w:w="449" w:type="pct"/>
            <w:tcBorders>
              <w:top w:val="nil"/>
              <w:left w:val="nil"/>
              <w:bottom w:val="single" w:sz="4" w:space="0" w:color="auto"/>
              <w:right w:val="single" w:sz="4" w:space="0" w:color="auto"/>
            </w:tcBorders>
            <w:shd w:val="clear" w:color="auto" w:fill="auto"/>
            <w:noWrap/>
            <w:vAlign w:val="center"/>
            <w:hideMark/>
          </w:tcPr>
          <w:p w14:paraId="7B2CEBCF" w14:textId="77777777" w:rsidR="00A575ED" w:rsidRPr="004B465C" w:rsidRDefault="00A575ED" w:rsidP="00B80E50">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8,824.91</w:t>
            </w:r>
          </w:p>
        </w:tc>
        <w:tc>
          <w:tcPr>
            <w:tcW w:w="449" w:type="pct"/>
            <w:tcBorders>
              <w:top w:val="nil"/>
              <w:left w:val="nil"/>
              <w:bottom w:val="single" w:sz="4" w:space="0" w:color="auto"/>
              <w:right w:val="single" w:sz="4" w:space="0" w:color="auto"/>
            </w:tcBorders>
            <w:shd w:val="clear" w:color="auto" w:fill="auto"/>
            <w:noWrap/>
            <w:vAlign w:val="center"/>
            <w:hideMark/>
          </w:tcPr>
          <w:p w14:paraId="055F5A97" w14:textId="77777777" w:rsidR="00A575ED" w:rsidRPr="004B465C" w:rsidRDefault="00A575ED" w:rsidP="00B80E50">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8,824.91</w:t>
            </w:r>
          </w:p>
        </w:tc>
        <w:tc>
          <w:tcPr>
            <w:tcW w:w="449" w:type="pct"/>
            <w:tcBorders>
              <w:top w:val="nil"/>
              <w:left w:val="nil"/>
              <w:bottom w:val="single" w:sz="4" w:space="0" w:color="auto"/>
              <w:right w:val="single" w:sz="4" w:space="0" w:color="auto"/>
            </w:tcBorders>
            <w:shd w:val="clear" w:color="auto" w:fill="auto"/>
            <w:noWrap/>
            <w:vAlign w:val="center"/>
            <w:hideMark/>
          </w:tcPr>
          <w:p w14:paraId="36230608" w14:textId="77777777" w:rsidR="00A575ED" w:rsidRPr="004B465C" w:rsidRDefault="00A575ED" w:rsidP="00B80E50">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8,824.91</w:t>
            </w:r>
          </w:p>
        </w:tc>
        <w:tc>
          <w:tcPr>
            <w:tcW w:w="449" w:type="pct"/>
            <w:tcBorders>
              <w:top w:val="nil"/>
              <w:left w:val="nil"/>
              <w:bottom w:val="single" w:sz="4" w:space="0" w:color="auto"/>
              <w:right w:val="single" w:sz="4" w:space="0" w:color="auto"/>
            </w:tcBorders>
            <w:shd w:val="clear" w:color="auto" w:fill="auto"/>
            <w:noWrap/>
            <w:vAlign w:val="center"/>
            <w:hideMark/>
          </w:tcPr>
          <w:p w14:paraId="78AB3D11" w14:textId="77777777" w:rsidR="00A575ED" w:rsidRPr="004B465C" w:rsidRDefault="00A575ED" w:rsidP="00B80E50">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8,824.91</w:t>
            </w:r>
          </w:p>
        </w:tc>
      </w:tr>
      <w:tr w:rsidR="00A575ED" w:rsidRPr="005A52C7" w14:paraId="2395AE09" w14:textId="77777777" w:rsidTr="00B80E50">
        <w:trPr>
          <w:trHeight w:val="312"/>
          <w:jc w:val="center"/>
        </w:trPr>
        <w:tc>
          <w:tcPr>
            <w:tcW w:w="794" w:type="pct"/>
            <w:tcBorders>
              <w:top w:val="nil"/>
              <w:left w:val="single" w:sz="4" w:space="0" w:color="auto"/>
              <w:bottom w:val="single" w:sz="4" w:space="0" w:color="auto"/>
              <w:right w:val="single" w:sz="4" w:space="0" w:color="auto"/>
            </w:tcBorders>
            <w:shd w:val="clear" w:color="000000" w:fill="D3DFEE"/>
            <w:noWrap/>
            <w:vAlign w:val="center"/>
            <w:hideMark/>
          </w:tcPr>
          <w:p w14:paraId="68AC8286" w14:textId="77777777" w:rsidR="00A575ED" w:rsidRPr="004B465C" w:rsidRDefault="00A575ED" w:rsidP="00B80E50">
            <w:pPr>
              <w:jc w:val="both"/>
              <w:rPr>
                <w:rFonts w:asciiTheme="minorHAnsi" w:eastAsia="华文细黑" w:hAnsiTheme="minorHAnsi" w:cs="宋体"/>
                <w:b/>
                <w:bCs/>
                <w:color w:val="000000"/>
                <w:sz w:val="20"/>
                <w:szCs w:val="20"/>
              </w:rPr>
            </w:pPr>
            <w:r w:rsidRPr="004B465C">
              <w:rPr>
                <w:rFonts w:asciiTheme="minorHAnsi" w:eastAsia="华文细黑" w:hAnsiTheme="minorHAnsi" w:cs="宋体" w:hint="eastAsia"/>
                <w:b/>
                <w:bCs/>
                <w:color w:val="000000"/>
                <w:sz w:val="20"/>
                <w:szCs w:val="20"/>
              </w:rPr>
              <w:t>现金流出</w:t>
            </w:r>
          </w:p>
        </w:tc>
        <w:tc>
          <w:tcPr>
            <w:tcW w:w="607" w:type="pct"/>
            <w:tcBorders>
              <w:top w:val="nil"/>
              <w:left w:val="nil"/>
              <w:bottom w:val="single" w:sz="4" w:space="0" w:color="auto"/>
              <w:right w:val="single" w:sz="4" w:space="0" w:color="auto"/>
            </w:tcBorders>
            <w:shd w:val="clear" w:color="000000" w:fill="D3DFEE"/>
            <w:noWrap/>
            <w:vAlign w:val="center"/>
            <w:hideMark/>
          </w:tcPr>
          <w:p w14:paraId="3D182F7D" w14:textId="77777777" w:rsidR="00A575ED" w:rsidRPr="004B465C" w:rsidRDefault="00A575ED" w:rsidP="00B80E50">
            <w:pPr>
              <w:jc w:val="right"/>
              <w:rPr>
                <w:rFonts w:asciiTheme="minorHAnsi" w:eastAsia="华文细黑" w:hAnsiTheme="minorHAnsi" w:cs="Arial"/>
                <w:b/>
                <w:bCs/>
                <w:color w:val="000000"/>
                <w:sz w:val="20"/>
                <w:szCs w:val="20"/>
              </w:rPr>
            </w:pPr>
          </w:p>
        </w:tc>
        <w:tc>
          <w:tcPr>
            <w:tcW w:w="454" w:type="pct"/>
            <w:tcBorders>
              <w:top w:val="nil"/>
              <w:left w:val="nil"/>
              <w:bottom w:val="single" w:sz="4" w:space="0" w:color="auto"/>
              <w:right w:val="single" w:sz="4" w:space="0" w:color="auto"/>
            </w:tcBorders>
            <w:shd w:val="clear" w:color="000000" w:fill="D3DFEE"/>
            <w:noWrap/>
            <w:vAlign w:val="center"/>
            <w:hideMark/>
          </w:tcPr>
          <w:p w14:paraId="63E29BF6" w14:textId="77777777" w:rsidR="00A575ED" w:rsidRPr="004B465C" w:rsidRDefault="00A575ED" w:rsidP="00B80E50">
            <w:pPr>
              <w:jc w:val="right"/>
              <w:rPr>
                <w:rFonts w:asciiTheme="minorHAnsi" w:eastAsia="华文细黑" w:hAnsiTheme="minorHAnsi" w:cs="Arial"/>
                <w:b/>
                <w:bCs/>
                <w:color w:val="000000"/>
                <w:sz w:val="20"/>
                <w:szCs w:val="20"/>
              </w:rPr>
            </w:pPr>
          </w:p>
        </w:tc>
        <w:tc>
          <w:tcPr>
            <w:tcW w:w="449" w:type="pct"/>
            <w:tcBorders>
              <w:top w:val="nil"/>
              <w:left w:val="nil"/>
              <w:bottom w:val="single" w:sz="4" w:space="0" w:color="auto"/>
              <w:right w:val="single" w:sz="4" w:space="0" w:color="auto"/>
            </w:tcBorders>
            <w:shd w:val="clear" w:color="000000" w:fill="D3DFEE"/>
            <w:noWrap/>
            <w:vAlign w:val="center"/>
            <w:hideMark/>
          </w:tcPr>
          <w:p w14:paraId="07860623" w14:textId="77777777" w:rsidR="00A575ED" w:rsidRPr="004B465C" w:rsidRDefault="00A575ED" w:rsidP="00B80E50">
            <w:pPr>
              <w:jc w:val="right"/>
              <w:rPr>
                <w:rFonts w:asciiTheme="minorHAnsi" w:eastAsia="华文细黑" w:hAnsiTheme="minorHAnsi" w:cs="Arial"/>
                <w:b/>
                <w:bCs/>
                <w:color w:val="000000"/>
                <w:sz w:val="20"/>
                <w:szCs w:val="20"/>
              </w:rPr>
            </w:pPr>
          </w:p>
        </w:tc>
        <w:tc>
          <w:tcPr>
            <w:tcW w:w="449" w:type="pct"/>
            <w:tcBorders>
              <w:top w:val="nil"/>
              <w:left w:val="nil"/>
              <w:bottom w:val="single" w:sz="4" w:space="0" w:color="auto"/>
              <w:right w:val="single" w:sz="4" w:space="0" w:color="auto"/>
            </w:tcBorders>
            <w:shd w:val="clear" w:color="000000" w:fill="D3DFEE"/>
            <w:noWrap/>
            <w:vAlign w:val="center"/>
            <w:hideMark/>
          </w:tcPr>
          <w:p w14:paraId="3BA6110E" w14:textId="77777777" w:rsidR="00A575ED" w:rsidRPr="004B465C" w:rsidRDefault="00A575ED" w:rsidP="00B80E50">
            <w:pPr>
              <w:jc w:val="right"/>
              <w:rPr>
                <w:rFonts w:asciiTheme="minorHAnsi" w:eastAsia="华文细黑" w:hAnsiTheme="minorHAnsi" w:cs="Arial"/>
                <w:b/>
                <w:bCs/>
                <w:color w:val="000000"/>
                <w:sz w:val="20"/>
                <w:szCs w:val="20"/>
              </w:rPr>
            </w:pPr>
          </w:p>
        </w:tc>
        <w:tc>
          <w:tcPr>
            <w:tcW w:w="449" w:type="pct"/>
            <w:tcBorders>
              <w:top w:val="nil"/>
              <w:left w:val="nil"/>
              <w:bottom w:val="single" w:sz="4" w:space="0" w:color="auto"/>
              <w:right w:val="single" w:sz="4" w:space="0" w:color="auto"/>
            </w:tcBorders>
            <w:shd w:val="clear" w:color="000000" w:fill="D3DFEE"/>
            <w:noWrap/>
            <w:vAlign w:val="center"/>
            <w:hideMark/>
          </w:tcPr>
          <w:p w14:paraId="6CE92398" w14:textId="77777777" w:rsidR="00A575ED" w:rsidRPr="004B465C" w:rsidRDefault="00A575ED" w:rsidP="00B80E50">
            <w:pPr>
              <w:jc w:val="right"/>
              <w:rPr>
                <w:rFonts w:asciiTheme="minorHAnsi" w:eastAsia="华文细黑" w:hAnsiTheme="minorHAnsi" w:cs="Arial"/>
                <w:b/>
                <w:bCs/>
                <w:color w:val="000000"/>
                <w:sz w:val="20"/>
                <w:szCs w:val="20"/>
              </w:rPr>
            </w:pPr>
          </w:p>
        </w:tc>
        <w:tc>
          <w:tcPr>
            <w:tcW w:w="449" w:type="pct"/>
            <w:tcBorders>
              <w:top w:val="nil"/>
              <w:left w:val="nil"/>
              <w:bottom w:val="single" w:sz="4" w:space="0" w:color="auto"/>
              <w:right w:val="single" w:sz="4" w:space="0" w:color="auto"/>
            </w:tcBorders>
            <w:shd w:val="clear" w:color="000000" w:fill="D3DFEE"/>
            <w:noWrap/>
            <w:vAlign w:val="center"/>
            <w:hideMark/>
          </w:tcPr>
          <w:p w14:paraId="4707726F" w14:textId="77777777" w:rsidR="00A575ED" w:rsidRPr="004B465C" w:rsidRDefault="00A575ED" w:rsidP="00B80E50">
            <w:pPr>
              <w:jc w:val="right"/>
              <w:rPr>
                <w:rFonts w:asciiTheme="minorHAnsi" w:eastAsia="华文细黑" w:hAnsiTheme="minorHAnsi" w:cs="Arial"/>
                <w:b/>
                <w:bCs/>
                <w:color w:val="000000"/>
                <w:sz w:val="20"/>
                <w:szCs w:val="20"/>
              </w:rPr>
            </w:pPr>
          </w:p>
        </w:tc>
        <w:tc>
          <w:tcPr>
            <w:tcW w:w="449" w:type="pct"/>
            <w:tcBorders>
              <w:top w:val="nil"/>
              <w:left w:val="nil"/>
              <w:bottom w:val="single" w:sz="4" w:space="0" w:color="auto"/>
              <w:right w:val="single" w:sz="4" w:space="0" w:color="auto"/>
            </w:tcBorders>
            <w:shd w:val="clear" w:color="000000" w:fill="D3DFEE"/>
            <w:noWrap/>
            <w:vAlign w:val="center"/>
            <w:hideMark/>
          </w:tcPr>
          <w:p w14:paraId="03BDDBAD" w14:textId="77777777" w:rsidR="00A575ED" w:rsidRPr="004B465C" w:rsidRDefault="00A575ED" w:rsidP="00B80E50">
            <w:pPr>
              <w:jc w:val="right"/>
              <w:rPr>
                <w:rFonts w:asciiTheme="minorHAnsi" w:eastAsia="华文细黑" w:hAnsiTheme="minorHAnsi" w:cs="Arial"/>
                <w:b/>
                <w:bCs/>
                <w:color w:val="000000"/>
                <w:sz w:val="20"/>
                <w:szCs w:val="20"/>
              </w:rPr>
            </w:pPr>
          </w:p>
        </w:tc>
        <w:tc>
          <w:tcPr>
            <w:tcW w:w="449" w:type="pct"/>
            <w:tcBorders>
              <w:top w:val="nil"/>
              <w:left w:val="nil"/>
              <w:bottom w:val="single" w:sz="4" w:space="0" w:color="auto"/>
              <w:right w:val="single" w:sz="4" w:space="0" w:color="auto"/>
            </w:tcBorders>
            <w:shd w:val="clear" w:color="000000" w:fill="D3DFEE"/>
            <w:noWrap/>
            <w:vAlign w:val="center"/>
            <w:hideMark/>
          </w:tcPr>
          <w:p w14:paraId="25A13D0A" w14:textId="77777777" w:rsidR="00A575ED" w:rsidRPr="004B465C" w:rsidRDefault="00A575ED" w:rsidP="00B80E50">
            <w:pPr>
              <w:jc w:val="right"/>
              <w:rPr>
                <w:rFonts w:asciiTheme="minorHAnsi" w:eastAsia="华文细黑" w:hAnsiTheme="minorHAnsi" w:cs="Arial"/>
                <w:b/>
                <w:bCs/>
                <w:color w:val="000000"/>
                <w:sz w:val="20"/>
                <w:szCs w:val="20"/>
              </w:rPr>
            </w:pPr>
          </w:p>
        </w:tc>
        <w:tc>
          <w:tcPr>
            <w:tcW w:w="449" w:type="pct"/>
            <w:tcBorders>
              <w:top w:val="nil"/>
              <w:left w:val="nil"/>
              <w:bottom w:val="single" w:sz="4" w:space="0" w:color="auto"/>
              <w:right w:val="single" w:sz="4" w:space="0" w:color="auto"/>
            </w:tcBorders>
            <w:shd w:val="clear" w:color="000000" w:fill="D3DFEE"/>
            <w:noWrap/>
            <w:vAlign w:val="center"/>
            <w:hideMark/>
          </w:tcPr>
          <w:p w14:paraId="35AF5D29" w14:textId="77777777" w:rsidR="00A575ED" w:rsidRPr="004B465C" w:rsidRDefault="00A575ED" w:rsidP="00B80E50">
            <w:pPr>
              <w:jc w:val="right"/>
              <w:rPr>
                <w:rFonts w:asciiTheme="minorHAnsi" w:eastAsia="华文细黑" w:hAnsiTheme="minorHAnsi" w:cs="Arial"/>
                <w:b/>
                <w:bCs/>
                <w:color w:val="000000"/>
                <w:sz w:val="20"/>
                <w:szCs w:val="20"/>
              </w:rPr>
            </w:pPr>
          </w:p>
        </w:tc>
      </w:tr>
      <w:tr w:rsidR="00A575ED" w:rsidRPr="005A52C7" w14:paraId="415231B3" w14:textId="77777777" w:rsidTr="00B80E50">
        <w:trPr>
          <w:trHeight w:val="312"/>
          <w:jc w:val="center"/>
        </w:trPr>
        <w:tc>
          <w:tcPr>
            <w:tcW w:w="794" w:type="pct"/>
            <w:tcBorders>
              <w:top w:val="nil"/>
              <w:left w:val="single" w:sz="4" w:space="0" w:color="auto"/>
              <w:bottom w:val="single" w:sz="4" w:space="0" w:color="auto"/>
              <w:right w:val="single" w:sz="4" w:space="0" w:color="auto"/>
            </w:tcBorders>
            <w:shd w:val="clear" w:color="auto" w:fill="auto"/>
            <w:noWrap/>
            <w:vAlign w:val="center"/>
            <w:hideMark/>
          </w:tcPr>
          <w:p w14:paraId="40425554" w14:textId="77777777" w:rsidR="00A575ED" w:rsidRPr="004B465C" w:rsidRDefault="00A575ED" w:rsidP="00B80E50">
            <w:pPr>
              <w:jc w:val="both"/>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建设期资金流出</w:t>
            </w:r>
          </w:p>
        </w:tc>
        <w:tc>
          <w:tcPr>
            <w:tcW w:w="607" w:type="pct"/>
            <w:tcBorders>
              <w:top w:val="nil"/>
              <w:left w:val="nil"/>
              <w:bottom w:val="single" w:sz="4" w:space="0" w:color="auto"/>
              <w:right w:val="single" w:sz="4" w:space="0" w:color="auto"/>
            </w:tcBorders>
            <w:shd w:val="clear" w:color="auto" w:fill="auto"/>
            <w:noWrap/>
            <w:vAlign w:val="center"/>
            <w:hideMark/>
          </w:tcPr>
          <w:p w14:paraId="4BD04AFC" w14:textId="77777777" w:rsidR="00A575ED" w:rsidRPr="004B465C" w:rsidRDefault="00A575ED" w:rsidP="00B80E50">
            <w:pPr>
              <w:jc w:val="right"/>
              <w:rPr>
                <w:rFonts w:asciiTheme="minorHAnsi" w:eastAsia="华文细黑" w:hAnsiTheme="minorHAnsi" w:cs="Arial"/>
                <w:color w:val="000000"/>
                <w:sz w:val="20"/>
                <w:szCs w:val="20"/>
              </w:rPr>
            </w:pPr>
            <w:r w:rsidRPr="00906AD3">
              <w:rPr>
                <w:rFonts w:asciiTheme="minorHAnsi" w:eastAsia="华文细黑" w:hAnsiTheme="minorHAnsi" w:cs="Arial"/>
                <w:color w:val="000000"/>
                <w:sz w:val="20"/>
                <w:szCs w:val="20"/>
              </w:rPr>
              <w:t>74,493.00</w:t>
            </w:r>
          </w:p>
        </w:tc>
        <w:tc>
          <w:tcPr>
            <w:tcW w:w="454" w:type="pct"/>
            <w:tcBorders>
              <w:top w:val="nil"/>
              <w:left w:val="nil"/>
              <w:bottom w:val="single" w:sz="4" w:space="0" w:color="auto"/>
              <w:right w:val="single" w:sz="4" w:space="0" w:color="auto"/>
            </w:tcBorders>
            <w:shd w:val="clear" w:color="auto" w:fill="auto"/>
            <w:noWrap/>
            <w:vAlign w:val="center"/>
            <w:hideMark/>
          </w:tcPr>
          <w:p w14:paraId="10D98CBA" w14:textId="77777777" w:rsidR="00A575ED" w:rsidRPr="004B465C" w:rsidRDefault="00A575ED" w:rsidP="00B80E50">
            <w:pPr>
              <w:jc w:val="right"/>
              <w:rPr>
                <w:rFonts w:asciiTheme="minorHAnsi" w:eastAsia="华文细黑" w:hAnsiTheme="minorHAnsi" w:cs="Arial"/>
                <w:color w:val="000000"/>
                <w:sz w:val="20"/>
                <w:szCs w:val="20"/>
              </w:rPr>
            </w:pPr>
            <w:r w:rsidRPr="00D94D6F">
              <w:rPr>
                <w:rFonts w:asciiTheme="minorHAnsi" w:eastAsia="华文细黑" w:hAnsiTheme="minorHAnsi" w:cs="Arial"/>
                <w:color w:val="000000"/>
                <w:sz w:val="20"/>
                <w:szCs w:val="20"/>
              </w:rPr>
              <w:t>38,095.26</w:t>
            </w:r>
          </w:p>
        </w:tc>
        <w:tc>
          <w:tcPr>
            <w:tcW w:w="449" w:type="pct"/>
            <w:tcBorders>
              <w:top w:val="nil"/>
              <w:left w:val="nil"/>
              <w:bottom w:val="single" w:sz="4" w:space="0" w:color="auto"/>
              <w:right w:val="single" w:sz="4" w:space="0" w:color="auto"/>
            </w:tcBorders>
            <w:shd w:val="clear" w:color="auto" w:fill="auto"/>
            <w:noWrap/>
            <w:vAlign w:val="center"/>
            <w:hideMark/>
          </w:tcPr>
          <w:p w14:paraId="04F8739F" w14:textId="77777777" w:rsidR="00A575ED" w:rsidRPr="004B465C" w:rsidRDefault="00A575ED" w:rsidP="00B80E50">
            <w:pPr>
              <w:jc w:val="right"/>
              <w:rPr>
                <w:rFonts w:asciiTheme="minorHAnsi" w:eastAsia="华文细黑" w:hAnsiTheme="minorHAnsi" w:cs="Arial"/>
                <w:color w:val="000000"/>
                <w:sz w:val="20"/>
                <w:szCs w:val="20"/>
              </w:rPr>
            </w:pPr>
            <w:r w:rsidRPr="00D94D6F">
              <w:rPr>
                <w:rFonts w:asciiTheme="minorHAnsi" w:eastAsia="华文细黑" w:hAnsiTheme="minorHAnsi" w:cs="Arial"/>
                <w:color w:val="000000"/>
                <w:sz w:val="20"/>
                <w:szCs w:val="20"/>
              </w:rPr>
              <w:t>4,919.47</w:t>
            </w:r>
          </w:p>
        </w:tc>
        <w:tc>
          <w:tcPr>
            <w:tcW w:w="449" w:type="pct"/>
            <w:tcBorders>
              <w:top w:val="nil"/>
              <w:left w:val="nil"/>
              <w:bottom w:val="single" w:sz="4" w:space="0" w:color="auto"/>
              <w:right w:val="single" w:sz="4" w:space="0" w:color="auto"/>
            </w:tcBorders>
            <w:shd w:val="clear" w:color="auto" w:fill="auto"/>
            <w:noWrap/>
            <w:vAlign w:val="center"/>
            <w:hideMark/>
          </w:tcPr>
          <w:p w14:paraId="4A784924"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039AD4A1"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65DBE334"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3FA81D01"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2F6D8469"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177D69D8" w14:textId="77777777" w:rsidR="00A575ED" w:rsidRPr="004B465C" w:rsidRDefault="00A575ED" w:rsidP="00B80E50">
            <w:pPr>
              <w:jc w:val="right"/>
              <w:rPr>
                <w:rFonts w:asciiTheme="minorHAnsi" w:eastAsia="华文细黑" w:hAnsiTheme="minorHAnsi" w:cs="Arial"/>
                <w:color w:val="000000"/>
                <w:sz w:val="20"/>
                <w:szCs w:val="20"/>
              </w:rPr>
            </w:pPr>
          </w:p>
        </w:tc>
      </w:tr>
      <w:tr w:rsidR="00A575ED" w:rsidRPr="005A52C7" w14:paraId="22AFDE1F" w14:textId="77777777" w:rsidTr="00B80E50">
        <w:trPr>
          <w:trHeight w:val="312"/>
          <w:jc w:val="center"/>
        </w:trPr>
        <w:tc>
          <w:tcPr>
            <w:tcW w:w="794" w:type="pct"/>
            <w:tcBorders>
              <w:top w:val="nil"/>
              <w:left w:val="single" w:sz="4" w:space="0" w:color="auto"/>
              <w:bottom w:val="single" w:sz="4" w:space="0" w:color="auto"/>
              <w:right w:val="single" w:sz="4" w:space="0" w:color="auto"/>
            </w:tcBorders>
            <w:shd w:val="clear" w:color="auto" w:fill="auto"/>
            <w:noWrap/>
            <w:vAlign w:val="center"/>
            <w:hideMark/>
          </w:tcPr>
          <w:p w14:paraId="09497CA4" w14:textId="77777777" w:rsidR="00A575ED" w:rsidRPr="004B465C" w:rsidRDefault="00A575ED" w:rsidP="00B80E50">
            <w:pPr>
              <w:jc w:val="both"/>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运营期现金流出</w:t>
            </w:r>
          </w:p>
        </w:tc>
        <w:tc>
          <w:tcPr>
            <w:tcW w:w="607" w:type="pct"/>
            <w:tcBorders>
              <w:top w:val="nil"/>
              <w:left w:val="nil"/>
              <w:bottom w:val="single" w:sz="4" w:space="0" w:color="auto"/>
              <w:right w:val="single" w:sz="4" w:space="0" w:color="auto"/>
            </w:tcBorders>
            <w:shd w:val="clear" w:color="auto" w:fill="auto"/>
            <w:noWrap/>
            <w:vAlign w:val="center"/>
            <w:hideMark/>
          </w:tcPr>
          <w:p w14:paraId="633F6689"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w:t>
            </w:r>
          </w:p>
        </w:tc>
        <w:tc>
          <w:tcPr>
            <w:tcW w:w="454" w:type="pct"/>
            <w:tcBorders>
              <w:top w:val="nil"/>
              <w:left w:val="nil"/>
              <w:bottom w:val="single" w:sz="4" w:space="0" w:color="auto"/>
              <w:right w:val="single" w:sz="4" w:space="0" w:color="auto"/>
            </w:tcBorders>
            <w:shd w:val="clear" w:color="auto" w:fill="auto"/>
            <w:noWrap/>
            <w:vAlign w:val="center"/>
            <w:hideMark/>
          </w:tcPr>
          <w:p w14:paraId="124D7023"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3FD3A470"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35583F98"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158C7B12"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495A14A4"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1FD6ACC6"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09AEEF91"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172933AB"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w:t>
            </w:r>
          </w:p>
        </w:tc>
      </w:tr>
      <w:tr w:rsidR="00A575ED" w:rsidRPr="005A52C7" w14:paraId="1384E461" w14:textId="77777777" w:rsidTr="00B80E50">
        <w:trPr>
          <w:trHeight w:val="312"/>
          <w:jc w:val="center"/>
        </w:trPr>
        <w:tc>
          <w:tcPr>
            <w:tcW w:w="794" w:type="pct"/>
            <w:tcBorders>
              <w:top w:val="nil"/>
              <w:left w:val="single" w:sz="4" w:space="0" w:color="auto"/>
              <w:bottom w:val="single" w:sz="4" w:space="0" w:color="auto"/>
              <w:right w:val="single" w:sz="4" w:space="0" w:color="auto"/>
            </w:tcBorders>
            <w:shd w:val="clear" w:color="auto" w:fill="auto"/>
            <w:noWrap/>
            <w:vAlign w:val="center"/>
            <w:hideMark/>
          </w:tcPr>
          <w:p w14:paraId="4FE90B2D" w14:textId="77777777" w:rsidR="00A575ED" w:rsidRPr="004B465C" w:rsidRDefault="00A575ED" w:rsidP="00B80E50">
            <w:pPr>
              <w:jc w:val="both"/>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债券发行费用</w:t>
            </w:r>
          </w:p>
        </w:tc>
        <w:tc>
          <w:tcPr>
            <w:tcW w:w="607" w:type="pct"/>
            <w:tcBorders>
              <w:top w:val="nil"/>
              <w:left w:val="nil"/>
              <w:bottom w:val="single" w:sz="4" w:space="0" w:color="auto"/>
              <w:right w:val="single" w:sz="4" w:space="0" w:color="auto"/>
            </w:tcBorders>
            <w:shd w:val="clear" w:color="auto" w:fill="auto"/>
            <w:noWrap/>
            <w:vAlign w:val="center"/>
            <w:hideMark/>
          </w:tcPr>
          <w:p w14:paraId="3A5E94DD" w14:textId="77777777" w:rsidR="00A575ED" w:rsidRPr="004B465C" w:rsidRDefault="00A575ED" w:rsidP="00B80E50">
            <w:pPr>
              <w:jc w:val="right"/>
              <w:rPr>
                <w:rFonts w:asciiTheme="minorHAnsi" w:eastAsia="华文细黑" w:hAnsiTheme="minorHAnsi" w:cs="宋体"/>
                <w:color w:val="000000"/>
                <w:sz w:val="20"/>
                <w:szCs w:val="20"/>
              </w:rPr>
            </w:pPr>
            <w:r w:rsidRPr="00906AD3">
              <w:rPr>
                <w:rFonts w:asciiTheme="minorHAnsi" w:eastAsia="华文细黑" w:hAnsiTheme="minorHAnsi" w:cs="宋体"/>
                <w:color w:val="000000"/>
                <w:sz w:val="20"/>
                <w:szCs w:val="20"/>
              </w:rPr>
              <w:t>55.60</w:t>
            </w:r>
          </w:p>
        </w:tc>
        <w:tc>
          <w:tcPr>
            <w:tcW w:w="454" w:type="pct"/>
            <w:tcBorders>
              <w:top w:val="nil"/>
              <w:left w:val="nil"/>
              <w:bottom w:val="single" w:sz="4" w:space="0" w:color="auto"/>
              <w:right w:val="single" w:sz="4" w:space="0" w:color="auto"/>
            </w:tcBorders>
            <w:shd w:val="clear" w:color="auto" w:fill="auto"/>
            <w:noWrap/>
            <w:vAlign w:val="center"/>
            <w:hideMark/>
          </w:tcPr>
          <w:p w14:paraId="5981C21E" w14:textId="77777777" w:rsidR="00A575ED" w:rsidRPr="004B465C" w:rsidRDefault="00A575ED" w:rsidP="00B80E50">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3.00</w:t>
            </w:r>
          </w:p>
        </w:tc>
        <w:tc>
          <w:tcPr>
            <w:tcW w:w="449" w:type="pct"/>
            <w:tcBorders>
              <w:top w:val="nil"/>
              <w:left w:val="nil"/>
              <w:bottom w:val="single" w:sz="4" w:space="0" w:color="auto"/>
              <w:right w:val="single" w:sz="4" w:space="0" w:color="auto"/>
            </w:tcBorders>
            <w:shd w:val="clear" w:color="auto" w:fill="auto"/>
            <w:noWrap/>
            <w:vAlign w:val="center"/>
            <w:hideMark/>
          </w:tcPr>
          <w:p w14:paraId="6200DEF3" w14:textId="77777777" w:rsidR="00A575ED" w:rsidRPr="004B465C" w:rsidRDefault="00A575ED" w:rsidP="00B80E50">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5675F940" w14:textId="77777777" w:rsidR="00A575ED" w:rsidRPr="004B465C" w:rsidRDefault="00A575ED" w:rsidP="00B80E50">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06E7F873" w14:textId="77777777" w:rsidR="00A575ED" w:rsidRPr="004B465C" w:rsidRDefault="00A575ED" w:rsidP="00B80E50">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0C331259" w14:textId="77777777" w:rsidR="00A575ED" w:rsidRPr="004B465C" w:rsidRDefault="00A575ED" w:rsidP="00B80E50">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1E538726" w14:textId="77777777" w:rsidR="00A575ED" w:rsidRPr="004B465C" w:rsidRDefault="00A575ED" w:rsidP="00B80E50">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057473BB" w14:textId="77777777" w:rsidR="00A575ED" w:rsidRPr="004B465C" w:rsidRDefault="00A575ED" w:rsidP="00B80E50">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5F8885E1" w14:textId="77777777" w:rsidR="00A575ED" w:rsidRPr="004B465C" w:rsidRDefault="00A575ED" w:rsidP="00B80E50">
            <w:pPr>
              <w:jc w:val="right"/>
              <w:rPr>
                <w:rFonts w:asciiTheme="minorHAnsi" w:eastAsia="华文细黑" w:hAnsiTheme="minorHAnsi" w:cs="宋体"/>
                <w:color w:val="000000"/>
                <w:sz w:val="20"/>
                <w:szCs w:val="20"/>
              </w:rPr>
            </w:pPr>
          </w:p>
        </w:tc>
      </w:tr>
      <w:tr w:rsidR="00A575ED" w:rsidRPr="005A52C7" w14:paraId="3061D428" w14:textId="77777777" w:rsidTr="00B80E50">
        <w:trPr>
          <w:trHeight w:val="312"/>
          <w:jc w:val="center"/>
        </w:trPr>
        <w:tc>
          <w:tcPr>
            <w:tcW w:w="794" w:type="pct"/>
            <w:tcBorders>
              <w:top w:val="nil"/>
              <w:left w:val="single" w:sz="4" w:space="0" w:color="auto"/>
              <w:bottom w:val="single" w:sz="4" w:space="0" w:color="auto"/>
              <w:right w:val="single" w:sz="4" w:space="0" w:color="auto"/>
            </w:tcBorders>
            <w:shd w:val="clear" w:color="auto" w:fill="auto"/>
            <w:noWrap/>
            <w:vAlign w:val="center"/>
            <w:hideMark/>
          </w:tcPr>
          <w:p w14:paraId="6C3A1655" w14:textId="77777777" w:rsidR="00A575ED" w:rsidRPr="004B465C" w:rsidRDefault="00A575ED" w:rsidP="00B80E50">
            <w:pPr>
              <w:jc w:val="both"/>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债券还本付息</w:t>
            </w:r>
          </w:p>
        </w:tc>
        <w:tc>
          <w:tcPr>
            <w:tcW w:w="607" w:type="pct"/>
            <w:tcBorders>
              <w:top w:val="nil"/>
              <w:left w:val="nil"/>
              <w:bottom w:val="single" w:sz="4" w:space="0" w:color="auto"/>
              <w:right w:val="single" w:sz="4" w:space="0" w:color="auto"/>
            </w:tcBorders>
            <w:shd w:val="clear" w:color="auto" w:fill="auto"/>
            <w:noWrap/>
            <w:vAlign w:val="center"/>
            <w:hideMark/>
          </w:tcPr>
          <w:p w14:paraId="0B77A475" w14:textId="77777777" w:rsidR="00A575ED" w:rsidRPr="004B465C" w:rsidRDefault="00A575ED" w:rsidP="00B80E50">
            <w:pPr>
              <w:jc w:val="right"/>
              <w:rPr>
                <w:rFonts w:asciiTheme="minorHAnsi" w:eastAsia="华文细黑" w:hAnsiTheme="minorHAnsi" w:cs="Arial"/>
                <w:color w:val="000000"/>
                <w:sz w:val="20"/>
                <w:szCs w:val="20"/>
              </w:rPr>
            </w:pPr>
            <w:r w:rsidRPr="00906AD3">
              <w:rPr>
                <w:rFonts w:asciiTheme="minorHAnsi" w:eastAsia="华文细黑" w:hAnsiTheme="minorHAnsi" w:cs="Arial"/>
                <w:color w:val="000000"/>
                <w:sz w:val="20"/>
                <w:szCs w:val="20"/>
              </w:rPr>
              <w:t>1,428.26</w:t>
            </w:r>
          </w:p>
        </w:tc>
        <w:tc>
          <w:tcPr>
            <w:tcW w:w="454" w:type="pct"/>
            <w:tcBorders>
              <w:top w:val="nil"/>
              <w:left w:val="nil"/>
              <w:bottom w:val="single" w:sz="4" w:space="0" w:color="auto"/>
              <w:right w:val="single" w:sz="4" w:space="0" w:color="auto"/>
            </w:tcBorders>
            <w:shd w:val="clear" w:color="auto" w:fill="auto"/>
            <w:noWrap/>
            <w:vAlign w:val="center"/>
            <w:hideMark/>
          </w:tcPr>
          <w:p w14:paraId="07ECCD70"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1,939.12</w:t>
            </w:r>
          </w:p>
        </w:tc>
        <w:tc>
          <w:tcPr>
            <w:tcW w:w="449" w:type="pct"/>
            <w:tcBorders>
              <w:top w:val="nil"/>
              <w:left w:val="nil"/>
              <w:bottom w:val="single" w:sz="4" w:space="0" w:color="auto"/>
              <w:right w:val="single" w:sz="4" w:space="0" w:color="auto"/>
            </w:tcBorders>
            <w:shd w:val="clear" w:color="auto" w:fill="auto"/>
            <w:noWrap/>
            <w:vAlign w:val="center"/>
            <w:hideMark/>
          </w:tcPr>
          <w:p w14:paraId="2291E641"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2,010.02</w:t>
            </w:r>
          </w:p>
        </w:tc>
        <w:tc>
          <w:tcPr>
            <w:tcW w:w="449" w:type="pct"/>
            <w:tcBorders>
              <w:top w:val="nil"/>
              <w:left w:val="nil"/>
              <w:bottom w:val="single" w:sz="4" w:space="0" w:color="auto"/>
              <w:right w:val="single" w:sz="4" w:space="0" w:color="auto"/>
            </w:tcBorders>
            <w:shd w:val="clear" w:color="auto" w:fill="auto"/>
            <w:noWrap/>
            <w:vAlign w:val="center"/>
            <w:hideMark/>
          </w:tcPr>
          <w:p w14:paraId="523B17AA"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2,010.02</w:t>
            </w:r>
          </w:p>
        </w:tc>
        <w:tc>
          <w:tcPr>
            <w:tcW w:w="449" w:type="pct"/>
            <w:tcBorders>
              <w:top w:val="nil"/>
              <w:left w:val="nil"/>
              <w:bottom w:val="single" w:sz="4" w:space="0" w:color="auto"/>
              <w:right w:val="single" w:sz="4" w:space="0" w:color="auto"/>
            </w:tcBorders>
            <w:shd w:val="clear" w:color="auto" w:fill="auto"/>
            <w:noWrap/>
            <w:vAlign w:val="center"/>
            <w:hideMark/>
          </w:tcPr>
          <w:p w14:paraId="4007BC9C"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2,010.02</w:t>
            </w:r>
          </w:p>
        </w:tc>
        <w:tc>
          <w:tcPr>
            <w:tcW w:w="449" w:type="pct"/>
            <w:tcBorders>
              <w:top w:val="nil"/>
              <w:left w:val="nil"/>
              <w:bottom w:val="single" w:sz="4" w:space="0" w:color="auto"/>
              <w:right w:val="single" w:sz="4" w:space="0" w:color="auto"/>
            </w:tcBorders>
            <w:shd w:val="clear" w:color="auto" w:fill="auto"/>
            <w:noWrap/>
            <w:vAlign w:val="center"/>
            <w:hideMark/>
          </w:tcPr>
          <w:p w14:paraId="03DB7D13"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17,910.02</w:t>
            </w:r>
          </w:p>
        </w:tc>
        <w:tc>
          <w:tcPr>
            <w:tcW w:w="449" w:type="pct"/>
            <w:tcBorders>
              <w:top w:val="nil"/>
              <w:left w:val="nil"/>
              <w:bottom w:val="single" w:sz="4" w:space="0" w:color="auto"/>
              <w:right w:val="single" w:sz="4" w:space="0" w:color="auto"/>
            </w:tcBorders>
            <w:shd w:val="clear" w:color="auto" w:fill="auto"/>
            <w:noWrap/>
            <w:vAlign w:val="center"/>
            <w:hideMark/>
          </w:tcPr>
          <w:p w14:paraId="1659F18F"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1,580.72</w:t>
            </w:r>
          </w:p>
        </w:tc>
        <w:tc>
          <w:tcPr>
            <w:tcW w:w="449" w:type="pct"/>
            <w:tcBorders>
              <w:top w:val="nil"/>
              <w:left w:val="nil"/>
              <w:bottom w:val="single" w:sz="4" w:space="0" w:color="auto"/>
              <w:right w:val="single" w:sz="4" w:space="0" w:color="auto"/>
            </w:tcBorders>
            <w:shd w:val="clear" w:color="auto" w:fill="auto"/>
            <w:noWrap/>
            <w:vAlign w:val="center"/>
            <w:hideMark/>
          </w:tcPr>
          <w:p w14:paraId="1394C282"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1,580.72</w:t>
            </w:r>
          </w:p>
        </w:tc>
        <w:tc>
          <w:tcPr>
            <w:tcW w:w="449" w:type="pct"/>
            <w:tcBorders>
              <w:top w:val="nil"/>
              <w:left w:val="nil"/>
              <w:bottom w:val="single" w:sz="4" w:space="0" w:color="auto"/>
              <w:right w:val="single" w:sz="4" w:space="0" w:color="auto"/>
            </w:tcBorders>
            <w:shd w:val="clear" w:color="auto" w:fill="auto"/>
            <w:noWrap/>
            <w:vAlign w:val="center"/>
            <w:hideMark/>
          </w:tcPr>
          <w:p w14:paraId="4CF6BA9C" w14:textId="77777777" w:rsidR="00A575ED" w:rsidRPr="004B465C" w:rsidRDefault="00A575ED" w:rsidP="00B80E50">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1,580.72</w:t>
            </w:r>
          </w:p>
        </w:tc>
      </w:tr>
      <w:tr w:rsidR="00A575ED" w:rsidRPr="005A52C7" w14:paraId="0860D1B9" w14:textId="77777777" w:rsidTr="00B80E50">
        <w:trPr>
          <w:trHeight w:val="312"/>
          <w:jc w:val="center"/>
        </w:trPr>
        <w:tc>
          <w:tcPr>
            <w:tcW w:w="794" w:type="pct"/>
            <w:tcBorders>
              <w:top w:val="nil"/>
              <w:left w:val="single" w:sz="4" w:space="0" w:color="auto"/>
              <w:bottom w:val="single" w:sz="4" w:space="0" w:color="auto"/>
              <w:right w:val="single" w:sz="4" w:space="0" w:color="auto"/>
            </w:tcBorders>
            <w:shd w:val="clear" w:color="auto" w:fill="auto"/>
            <w:noWrap/>
            <w:vAlign w:val="center"/>
            <w:hideMark/>
          </w:tcPr>
          <w:p w14:paraId="3414C212" w14:textId="77777777" w:rsidR="00A575ED" w:rsidRPr="004B465C" w:rsidRDefault="00A575ED" w:rsidP="00B80E50">
            <w:pPr>
              <w:jc w:val="both"/>
              <w:rPr>
                <w:rFonts w:asciiTheme="minorHAnsi" w:eastAsia="华文细黑" w:hAnsiTheme="minorHAnsi" w:cs="宋体"/>
                <w:b/>
                <w:bCs/>
                <w:color w:val="000000"/>
                <w:sz w:val="20"/>
                <w:szCs w:val="20"/>
              </w:rPr>
            </w:pPr>
            <w:r w:rsidRPr="004B465C">
              <w:rPr>
                <w:rFonts w:asciiTheme="minorHAnsi" w:eastAsia="华文细黑" w:hAnsiTheme="minorHAnsi" w:cs="宋体" w:hint="eastAsia"/>
                <w:b/>
                <w:bCs/>
                <w:color w:val="000000"/>
                <w:sz w:val="20"/>
                <w:szCs w:val="20"/>
              </w:rPr>
              <w:t>现金流出总额</w:t>
            </w:r>
          </w:p>
        </w:tc>
        <w:tc>
          <w:tcPr>
            <w:tcW w:w="607" w:type="pct"/>
            <w:tcBorders>
              <w:top w:val="nil"/>
              <w:left w:val="nil"/>
              <w:bottom w:val="single" w:sz="4" w:space="0" w:color="auto"/>
              <w:right w:val="single" w:sz="4" w:space="0" w:color="auto"/>
            </w:tcBorders>
            <w:shd w:val="clear" w:color="auto" w:fill="auto"/>
            <w:noWrap/>
            <w:vAlign w:val="center"/>
            <w:hideMark/>
          </w:tcPr>
          <w:p w14:paraId="1B660794" w14:textId="77777777" w:rsidR="00A575ED" w:rsidRPr="004B465C" w:rsidRDefault="00A575ED" w:rsidP="00B80E50">
            <w:pPr>
              <w:jc w:val="right"/>
              <w:rPr>
                <w:rFonts w:asciiTheme="minorHAnsi" w:eastAsia="华文细黑" w:hAnsiTheme="minorHAnsi" w:cs="Arial"/>
                <w:b/>
                <w:bCs/>
                <w:color w:val="000000"/>
                <w:sz w:val="20"/>
                <w:szCs w:val="20"/>
              </w:rPr>
            </w:pPr>
            <w:r w:rsidRPr="00906AD3">
              <w:rPr>
                <w:rFonts w:asciiTheme="minorHAnsi" w:eastAsia="华文细黑" w:hAnsiTheme="minorHAnsi" w:cs="Arial"/>
                <w:b/>
                <w:bCs/>
                <w:color w:val="000000"/>
                <w:sz w:val="20"/>
                <w:szCs w:val="20"/>
              </w:rPr>
              <w:t>75,976.87</w:t>
            </w:r>
          </w:p>
        </w:tc>
        <w:tc>
          <w:tcPr>
            <w:tcW w:w="454" w:type="pct"/>
            <w:tcBorders>
              <w:top w:val="nil"/>
              <w:left w:val="nil"/>
              <w:bottom w:val="single" w:sz="4" w:space="0" w:color="auto"/>
              <w:right w:val="single" w:sz="4" w:space="0" w:color="auto"/>
            </w:tcBorders>
            <w:shd w:val="clear" w:color="auto" w:fill="auto"/>
            <w:noWrap/>
            <w:vAlign w:val="center"/>
            <w:hideMark/>
          </w:tcPr>
          <w:p w14:paraId="343D86D8" w14:textId="77777777" w:rsidR="00A575ED" w:rsidRPr="004B465C" w:rsidRDefault="00A575ED" w:rsidP="00B80E50">
            <w:pPr>
              <w:jc w:val="right"/>
              <w:rPr>
                <w:rFonts w:asciiTheme="minorHAnsi" w:eastAsia="华文细黑" w:hAnsiTheme="minorHAnsi" w:cs="Arial"/>
                <w:b/>
                <w:bCs/>
                <w:color w:val="000000"/>
                <w:sz w:val="20"/>
                <w:szCs w:val="20"/>
              </w:rPr>
            </w:pPr>
            <w:r w:rsidRPr="00D94D6F">
              <w:rPr>
                <w:rFonts w:asciiTheme="minorHAnsi" w:eastAsia="华文细黑" w:hAnsiTheme="minorHAnsi" w:cs="Arial"/>
                <w:b/>
                <w:bCs/>
                <w:color w:val="000000"/>
                <w:sz w:val="20"/>
                <w:szCs w:val="20"/>
              </w:rPr>
              <w:t>40,037.38</w:t>
            </w:r>
          </w:p>
        </w:tc>
        <w:tc>
          <w:tcPr>
            <w:tcW w:w="449" w:type="pct"/>
            <w:tcBorders>
              <w:top w:val="nil"/>
              <w:left w:val="nil"/>
              <w:bottom w:val="single" w:sz="4" w:space="0" w:color="auto"/>
              <w:right w:val="single" w:sz="4" w:space="0" w:color="auto"/>
            </w:tcBorders>
            <w:shd w:val="clear" w:color="auto" w:fill="auto"/>
            <w:noWrap/>
            <w:vAlign w:val="center"/>
            <w:hideMark/>
          </w:tcPr>
          <w:p w14:paraId="376ACA49" w14:textId="77777777" w:rsidR="00A575ED" w:rsidRPr="004B465C" w:rsidRDefault="00A575ED" w:rsidP="00B80E50">
            <w:pPr>
              <w:jc w:val="right"/>
              <w:rPr>
                <w:rFonts w:asciiTheme="minorHAnsi" w:eastAsia="华文细黑" w:hAnsiTheme="minorHAnsi" w:cs="Arial"/>
                <w:b/>
                <w:bCs/>
                <w:color w:val="000000"/>
                <w:sz w:val="20"/>
                <w:szCs w:val="20"/>
              </w:rPr>
            </w:pPr>
            <w:r w:rsidRPr="00D94D6F">
              <w:rPr>
                <w:rFonts w:asciiTheme="minorHAnsi" w:eastAsia="华文细黑" w:hAnsiTheme="minorHAnsi" w:cs="Arial"/>
                <w:b/>
                <w:bCs/>
                <w:color w:val="000000"/>
                <w:sz w:val="20"/>
                <w:szCs w:val="20"/>
              </w:rPr>
              <w:t>6,929.49</w:t>
            </w:r>
          </w:p>
        </w:tc>
        <w:tc>
          <w:tcPr>
            <w:tcW w:w="449" w:type="pct"/>
            <w:tcBorders>
              <w:top w:val="nil"/>
              <w:left w:val="nil"/>
              <w:bottom w:val="single" w:sz="4" w:space="0" w:color="auto"/>
              <w:right w:val="single" w:sz="4" w:space="0" w:color="auto"/>
            </w:tcBorders>
            <w:shd w:val="clear" w:color="auto" w:fill="auto"/>
            <w:noWrap/>
            <w:vAlign w:val="center"/>
            <w:hideMark/>
          </w:tcPr>
          <w:p w14:paraId="16DF26BE" w14:textId="77777777" w:rsidR="00A575ED" w:rsidRPr="004B465C" w:rsidRDefault="00A575ED" w:rsidP="00B80E50">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2,010.02</w:t>
            </w:r>
          </w:p>
        </w:tc>
        <w:tc>
          <w:tcPr>
            <w:tcW w:w="449" w:type="pct"/>
            <w:tcBorders>
              <w:top w:val="nil"/>
              <w:left w:val="nil"/>
              <w:bottom w:val="single" w:sz="4" w:space="0" w:color="auto"/>
              <w:right w:val="single" w:sz="4" w:space="0" w:color="auto"/>
            </w:tcBorders>
            <w:shd w:val="clear" w:color="auto" w:fill="auto"/>
            <w:noWrap/>
            <w:vAlign w:val="center"/>
            <w:hideMark/>
          </w:tcPr>
          <w:p w14:paraId="09DE00CC" w14:textId="77777777" w:rsidR="00A575ED" w:rsidRPr="004B465C" w:rsidRDefault="00A575ED" w:rsidP="00B80E50">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2,010.02</w:t>
            </w:r>
          </w:p>
        </w:tc>
        <w:tc>
          <w:tcPr>
            <w:tcW w:w="449" w:type="pct"/>
            <w:tcBorders>
              <w:top w:val="nil"/>
              <w:left w:val="nil"/>
              <w:bottom w:val="single" w:sz="4" w:space="0" w:color="auto"/>
              <w:right w:val="single" w:sz="4" w:space="0" w:color="auto"/>
            </w:tcBorders>
            <w:shd w:val="clear" w:color="auto" w:fill="auto"/>
            <w:noWrap/>
            <w:vAlign w:val="center"/>
            <w:hideMark/>
          </w:tcPr>
          <w:p w14:paraId="24D1474F" w14:textId="77777777" w:rsidR="00A575ED" w:rsidRPr="004B465C" w:rsidRDefault="00A575ED" w:rsidP="00B80E50">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17,910.02</w:t>
            </w:r>
          </w:p>
        </w:tc>
        <w:tc>
          <w:tcPr>
            <w:tcW w:w="449" w:type="pct"/>
            <w:tcBorders>
              <w:top w:val="nil"/>
              <w:left w:val="nil"/>
              <w:bottom w:val="single" w:sz="4" w:space="0" w:color="auto"/>
              <w:right w:val="single" w:sz="4" w:space="0" w:color="auto"/>
            </w:tcBorders>
            <w:shd w:val="clear" w:color="auto" w:fill="auto"/>
            <w:noWrap/>
            <w:vAlign w:val="center"/>
            <w:hideMark/>
          </w:tcPr>
          <w:p w14:paraId="0BA97A31" w14:textId="77777777" w:rsidR="00A575ED" w:rsidRPr="004B465C" w:rsidRDefault="00A575ED" w:rsidP="00B80E50">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1,580.72</w:t>
            </w:r>
          </w:p>
        </w:tc>
        <w:tc>
          <w:tcPr>
            <w:tcW w:w="449" w:type="pct"/>
            <w:tcBorders>
              <w:top w:val="nil"/>
              <w:left w:val="nil"/>
              <w:bottom w:val="single" w:sz="4" w:space="0" w:color="auto"/>
              <w:right w:val="single" w:sz="4" w:space="0" w:color="auto"/>
            </w:tcBorders>
            <w:shd w:val="clear" w:color="auto" w:fill="auto"/>
            <w:noWrap/>
            <w:vAlign w:val="center"/>
            <w:hideMark/>
          </w:tcPr>
          <w:p w14:paraId="7FC17121" w14:textId="77777777" w:rsidR="00A575ED" w:rsidRPr="004B465C" w:rsidRDefault="00A575ED" w:rsidP="00B80E50">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1,580.72</w:t>
            </w:r>
          </w:p>
        </w:tc>
        <w:tc>
          <w:tcPr>
            <w:tcW w:w="449" w:type="pct"/>
            <w:tcBorders>
              <w:top w:val="nil"/>
              <w:left w:val="nil"/>
              <w:bottom w:val="single" w:sz="4" w:space="0" w:color="auto"/>
              <w:right w:val="single" w:sz="4" w:space="0" w:color="auto"/>
            </w:tcBorders>
            <w:shd w:val="clear" w:color="auto" w:fill="auto"/>
            <w:noWrap/>
            <w:vAlign w:val="center"/>
            <w:hideMark/>
          </w:tcPr>
          <w:p w14:paraId="3B1DFC32" w14:textId="77777777" w:rsidR="00A575ED" w:rsidRPr="004B465C" w:rsidRDefault="00A575ED" w:rsidP="00B80E50">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1,580.72</w:t>
            </w:r>
          </w:p>
        </w:tc>
      </w:tr>
      <w:tr w:rsidR="00A575ED" w:rsidRPr="005A52C7" w14:paraId="4A4C2073" w14:textId="77777777" w:rsidTr="00B80E50">
        <w:trPr>
          <w:trHeight w:val="312"/>
          <w:jc w:val="center"/>
        </w:trPr>
        <w:tc>
          <w:tcPr>
            <w:tcW w:w="794" w:type="pct"/>
            <w:tcBorders>
              <w:top w:val="nil"/>
              <w:left w:val="single" w:sz="4" w:space="0" w:color="auto"/>
              <w:bottom w:val="single" w:sz="4" w:space="0" w:color="auto"/>
              <w:right w:val="single" w:sz="4" w:space="0" w:color="auto"/>
            </w:tcBorders>
            <w:shd w:val="clear" w:color="000000" w:fill="D3DFEE"/>
            <w:noWrap/>
            <w:vAlign w:val="center"/>
            <w:hideMark/>
          </w:tcPr>
          <w:p w14:paraId="055A6B98" w14:textId="77777777" w:rsidR="00A575ED" w:rsidRPr="004B465C" w:rsidRDefault="00A575ED" w:rsidP="00B80E50">
            <w:pPr>
              <w:jc w:val="both"/>
              <w:rPr>
                <w:rFonts w:asciiTheme="minorHAnsi" w:eastAsia="华文细黑" w:hAnsiTheme="minorHAnsi" w:cs="宋体"/>
                <w:b/>
                <w:bCs/>
                <w:color w:val="000000"/>
                <w:sz w:val="20"/>
                <w:szCs w:val="20"/>
              </w:rPr>
            </w:pPr>
            <w:r w:rsidRPr="004B465C">
              <w:rPr>
                <w:rFonts w:asciiTheme="minorHAnsi" w:eastAsia="华文细黑" w:hAnsiTheme="minorHAnsi" w:cs="宋体" w:hint="eastAsia"/>
                <w:b/>
                <w:bCs/>
                <w:color w:val="000000"/>
                <w:sz w:val="20"/>
                <w:szCs w:val="20"/>
              </w:rPr>
              <w:t>现金净流量</w:t>
            </w:r>
          </w:p>
        </w:tc>
        <w:tc>
          <w:tcPr>
            <w:tcW w:w="607" w:type="pct"/>
            <w:tcBorders>
              <w:top w:val="nil"/>
              <w:left w:val="nil"/>
              <w:bottom w:val="single" w:sz="4" w:space="0" w:color="auto"/>
              <w:right w:val="single" w:sz="4" w:space="0" w:color="auto"/>
            </w:tcBorders>
            <w:shd w:val="clear" w:color="000000" w:fill="D3DFEE"/>
            <w:noWrap/>
            <w:vAlign w:val="center"/>
            <w:hideMark/>
          </w:tcPr>
          <w:p w14:paraId="78DE6156" w14:textId="77777777" w:rsidR="00A575ED" w:rsidRPr="004B465C" w:rsidRDefault="00A575ED" w:rsidP="00B80E50">
            <w:pPr>
              <w:jc w:val="right"/>
              <w:rPr>
                <w:rFonts w:asciiTheme="minorHAnsi" w:eastAsia="华文细黑" w:hAnsiTheme="minorHAnsi" w:cs="Arial"/>
                <w:b/>
                <w:bCs/>
                <w:color w:val="000000"/>
                <w:sz w:val="20"/>
                <w:szCs w:val="20"/>
              </w:rPr>
            </w:pPr>
          </w:p>
        </w:tc>
        <w:tc>
          <w:tcPr>
            <w:tcW w:w="454" w:type="pct"/>
            <w:tcBorders>
              <w:top w:val="nil"/>
              <w:left w:val="nil"/>
              <w:bottom w:val="single" w:sz="4" w:space="0" w:color="auto"/>
              <w:right w:val="single" w:sz="4" w:space="0" w:color="auto"/>
            </w:tcBorders>
            <w:shd w:val="clear" w:color="000000" w:fill="D3DFEE"/>
            <w:noWrap/>
            <w:vAlign w:val="center"/>
            <w:hideMark/>
          </w:tcPr>
          <w:p w14:paraId="06490626" w14:textId="77777777" w:rsidR="00A575ED" w:rsidRPr="004B465C" w:rsidRDefault="00A575ED" w:rsidP="00B80E50">
            <w:pPr>
              <w:jc w:val="right"/>
              <w:rPr>
                <w:rFonts w:asciiTheme="minorHAnsi" w:eastAsia="华文细黑" w:hAnsiTheme="minorHAnsi" w:cs="Arial"/>
                <w:b/>
                <w:bCs/>
                <w:color w:val="000000"/>
                <w:sz w:val="20"/>
                <w:szCs w:val="20"/>
              </w:rPr>
            </w:pPr>
          </w:p>
        </w:tc>
        <w:tc>
          <w:tcPr>
            <w:tcW w:w="449" w:type="pct"/>
            <w:tcBorders>
              <w:top w:val="nil"/>
              <w:left w:val="nil"/>
              <w:bottom w:val="single" w:sz="4" w:space="0" w:color="auto"/>
              <w:right w:val="single" w:sz="4" w:space="0" w:color="auto"/>
            </w:tcBorders>
            <w:shd w:val="clear" w:color="000000" w:fill="D3DFEE"/>
            <w:noWrap/>
            <w:vAlign w:val="center"/>
            <w:hideMark/>
          </w:tcPr>
          <w:p w14:paraId="3A7D947B" w14:textId="77777777" w:rsidR="00A575ED" w:rsidRPr="004B465C" w:rsidRDefault="00A575ED" w:rsidP="00B80E50">
            <w:pPr>
              <w:jc w:val="right"/>
              <w:rPr>
                <w:rFonts w:asciiTheme="minorHAnsi" w:eastAsia="华文细黑" w:hAnsiTheme="minorHAnsi" w:cs="Arial"/>
                <w:b/>
                <w:bCs/>
                <w:color w:val="000000"/>
                <w:sz w:val="20"/>
                <w:szCs w:val="20"/>
              </w:rPr>
            </w:pPr>
          </w:p>
        </w:tc>
        <w:tc>
          <w:tcPr>
            <w:tcW w:w="449" w:type="pct"/>
            <w:tcBorders>
              <w:top w:val="nil"/>
              <w:left w:val="nil"/>
              <w:bottom w:val="single" w:sz="4" w:space="0" w:color="auto"/>
              <w:right w:val="single" w:sz="4" w:space="0" w:color="auto"/>
            </w:tcBorders>
            <w:shd w:val="clear" w:color="000000" w:fill="D3DFEE"/>
            <w:noWrap/>
            <w:vAlign w:val="center"/>
            <w:hideMark/>
          </w:tcPr>
          <w:p w14:paraId="7EB600C1" w14:textId="77777777" w:rsidR="00A575ED" w:rsidRPr="004B465C" w:rsidRDefault="00A575ED" w:rsidP="00B80E50">
            <w:pPr>
              <w:jc w:val="right"/>
              <w:rPr>
                <w:rFonts w:asciiTheme="minorHAnsi" w:eastAsia="华文细黑" w:hAnsiTheme="minorHAnsi" w:cs="Arial"/>
                <w:b/>
                <w:bCs/>
                <w:color w:val="000000"/>
                <w:sz w:val="20"/>
                <w:szCs w:val="20"/>
              </w:rPr>
            </w:pPr>
          </w:p>
        </w:tc>
        <w:tc>
          <w:tcPr>
            <w:tcW w:w="449" w:type="pct"/>
            <w:tcBorders>
              <w:top w:val="nil"/>
              <w:left w:val="nil"/>
              <w:bottom w:val="single" w:sz="4" w:space="0" w:color="auto"/>
              <w:right w:val="single" w:sz="4" w:space="0" w:color="auto"/>
            </w:tcBorders>
            <w:shd w:val="clear" w:color="000000" w:fill="D3DFEE"/>
            <w:noWrap/>
            <w:vAlign w:val="center"/>
            <w:hideMark/>
          </w:tcPr>
          <w:p w14:paraId="2747F6A8" w14:textId="77777777" w:rsidR="00A575ED" w:rsidRPr="004B465C" w:rsidRDefault="00A575ED" w:rsidP="00B80E50">
            <w:pPr>
              <w:jc w:val="right"/>
              <w:rPr>
                <w:rFonts w:asciiTheme="minorHAnsi" w:eastAsia="华文细黑" w:hAnsiTheme="minorHAnsi" w:cs="Arial"/>
                <w:b/>
                <w:bCs/>
                <w:color w:val="000000"/>
                <w:sz w:val="20"/>
                <w:szCs w:val="20"/>
              </w:rPr>
            </w:pPr>
          </w:p>
        </w:tc>
        <w:tc>
          <w:tcPr>
            <w:tcW w:w="449" w:type="pct"/>
            <w:tcBorders>
              <w:top w:val="nil"/>
              <w:left w:val="nil"/>
              <w:bottom w:val="single" w:sz="4" w:space="0" w:color="auto"/>
              <w:right w:val="single" w:sz="4" w:space="0" w:color="auto"/>
            </w:tcBorders>
            <w:shd w:val="clear" w:color="000000" w:fill="D3DFEE"/>
            <w:noWrap/>
            <w:vAlign w:val="center"/>
            <w:hideMark/>
          </w:tcPr>
          <w:p w14:paraId="0ECE5F54" w14:textId="77777777" w:rsidR="00A575ED" w:rsidRPr="004B465C" w:rsidRDefault="00A575ED" w:rsidP="00B80E50">
            <w:pPr>
              <w:jc w:val="right"/>
              <w:rPr>
                <w:rFonts w:asciiTheme="minorHAnsi" w:eastAsia="华文细黑" w:hAnsiTheme="minorHAnsi" w:cs="Arial"/>
                <w:b/>
                <w:bCs/>
                <w:color w:val="000000"/>
                <w:sz w:val="20"/>
                <w:szCs w:val="20"/>
              </w:rPr>
            </w:pPr>
          </w:p>
        </w:tc>
        <w:tc>
          <w:tcPr>
            <w:tcW w:w="449" w:type="pct"/>
            <w:tcBorders>
              <w:top w:val="nil"/>
              <w:left w:val="nil"/>
              <w:bottom w:val="single" w:sz="4" w:space="0" w:color="auto"/>
              <w:right w:val="single" w:sz="4" w:space="0" w:color="auto"/>
            </w:tcBorders>
            <w:shd w:val="clear" w:color="000000" w:fill="D3DFEE"/>
            <w:noWrap/>
            <w:vAlign w:val="center"/>
            <w:hideMark/>
          </w:tcPr>
          <w:p w14:paraId="1E2BDA42" w14:textId="77777777" w:rsidR="00A575ED" w:rsidRPr="004B465C" w:rsidRDefault="00A575ED" w:rsidP="00B80E50">
            <w:pPr>
              <w:jc w:val="right"/>
              <w:rPr>
                <w:rFonts w:asciiTheme="minorHAnsi" w:eastAsia="华文细黑" w:hAnsiTheme="minorHAnsi" w:cs="Arial"/>
                <w:b/>
                <w:bCs/>
                <w:color w:val="000000"/>
                <w:sz w:val="20"/>
                <w:szCs w:val="20"/>
              </w:rPr>
            </w:pPr>
          </w:p>
        </w:tc>
        <w:tc>
          <w:tcPr>
            <w:tcW w:w="449" w:type="pct"/>
            <w:tcBorders>
              <w:top w:val="nil"/>
              <w:left w:val="nil"/>
              <w:bottom w:val="single" w:sz="4" w:space="0" w:color="auto"/>
              <w:right w:val="single" w:sz="4" w:space="0" w:color="auto"/>
            </w:tcBorders>
            <w:shd w:val="clear" w:color="000000" w:fill="D3DFEE"/>
            <w:noWrap/>
            <w:vAlign w:val="center"/>
            <w:hideMark/>
          </w:tcPr>
          <w:p w14:paraId="1360C70F" w14:textId="77777777" w:rsidR="00A575ED" w:rsidRPr="004B465C" w:rsidRDefault="00A575ED" w:rsidP="00B80E50">
            <w:pPr>
              <w:jc w:val="right"/>
              <w:rPr>
                <w:rFonts w:asciiTheme="minorHAnsi" w:eastAsia="华文细黑" w:hAnsiTheme="minorHAnsi" w:cs="Arial"/>
                <w:b/>
                <w:bCs/>
                <w:color w:val="000000"/>
                <w:sz w:val="20"/>
                <w:szCs w:val="20"/>
              </w:rPr>
            </w:pPr>
          </w:p>
        </w:tc>
        <w:tc>
          <w:tcPr>
            <w:tcW w:w="449" w:type="pct"/>
            <w:tcBorders>
              <w:top w:val="nil"/>
              <w:left w:val="nil"/>
              <w:bottom w:val="single" w:sz="4" w:space="0" w:color="auto"/>
              <w:right w:val="single" w:sz="4" w:space="0" w:color="auto"/>
            </w:tcBorders>
            <w:shd w:val="clear" w:color="000000" w:fill="D3DFEE"/>
            <w:noWrap/>
            <w:vAlign w:val="center"/>
            <w:hideMark/>
          </w:tcPr>
          <w:p w14:paraId="02C13CF4" w14:textId="77777777" w:rsidR="00A575ED" w:rsidRPr="004B465C" w:rsidRDefault="00A575ED" w:rsidP="00B80E50">
            <w:pPr>
              <w:jc w:val="right"/>
              <w:rPr>
                <w:rFonts w:asciiTheme="minorHAnsi" w:eastAsia="华文细黑" w:hAnsiTheme="minorHAnsi" w:cs="Arial"/>
                <w:b/>
                <w:bCs/>
                <w:color w:val="000000"/>
                <w:sz w:val="20"/>
                <w:szCs w:val="20"/>
              </w:rPr>
            </w:pPr>
          </w:p>
        </w:tc>
      </w:tr>
      <w:tr w:rsidR="00A575ED" w:rsidRPr="005A52C7" w14:paraId="5ECC56AC" w14:textId="77777777" w:rsidTr="00B80E50">
        <w:trPr>
          <w:trHeight w:val="312"/>
          <w:jc w:val="center"/>
        </w:trPr>
        <w:tc>
          <w:tcPr>
            <w:tcW w:w="794" w:type="pct"/>
            <w:tcBorders>
              <w:top w:val="nil"/>
              <w:left w:val="single" w:sz="4" w:space="0" w:color="auto"/>
              <w:bottom w:val="single" w:sz="4" w:space="0" w:color="auto"/>
              <w:right w:val="single" w:sz="4" w:space="0" w:color="auto"/>
            </w:tcBorders>
            <w:shd w:val="clear" w:color="auto" w:fill="auto"/>
            <w:noWrap/>
            <w:vAlign w:val="center"/>
            <w:hideMark/>
          </w:tcPr>
          <w:p w14:paraId="6585C461" w14:textId="77777777" w:rsidR="00A575ED" w:rsidRPr="004B465C" w:rsidRDefault="00A575ED" w:rsidP="00B80E50">
            <w:pPr>
              <w:jc w:val="both"/>
              <w:rPr>
                <w:rFonts w:asciiTheme="minorHAnsi" w:eastAsia="华文细黑" w:hAnsiTheme="minorHAnsi" w:cs="Arial"/>
                <w:b/>
                <w:bCs/>
                <w:color w:val="000000"/>
                <w:sz w:val="20"/>
                <w:szCs w:val="20"/>
              </w:rPr>
            </w:pPr>
            <w:r w:rsidRPr="004B465C">
              <w:rPr>
                <w:rFonts w:asciiTheme="minorHAnsi" w:eastAsia="华文细黑" w:hAnsiTheme="minorHAnsi" w:cs="Arial" w:hint="eastAsia"/>
                <w:b/>
                <w:bCs/>
                <w:color w:val="000000"/>
                <w:sz w:val="20"/>
                <w:szCs w:val="20"/>
              </w:rPr>
              <w:t>当年项目现金净流入</w:t>
            </w:r>
          </w:p>
        </w:tc>
        <w:tc>
          <w:tcPr>
            <w:tcW w:w="607" w:type="pct"/>
            <w:tcBorders>
              <w:top w:val="nil"/>
              <w:left w:val="nil"/>
              <w:bottom w:val="single" w:sz="4" w:space="0" w:color="auto"/>
              <w:right w:val="single" w:sz="4" w:space="0" w:color="auto"/>
            </w:tcBorders>
            <w:shd w:val="clear" w:color="auto" w:fill="auto"/>
            <w:noWrap/>
            <w:vAlign w:val="center"/>
            <w:hideMark/>
          </w:tcPr>
          <w:p w14:paraId="57CB9D98" w14:textId="77777777" w:rsidR="00A575ED" w:rsidRPr="004B465C" w:rsidRDefault="00A575ED" w:rsidP="00B80E50">
            <w:pPr>
              <w:jc w:val="right"/>
              <w:rPr>
                <w:rFonts w:asciiTheme="minorHAnsi" w:eastAsia="华文细黑" w:hAnsiTheme="minorHAnsi" w:cs="Arial"/>
                <w:b/>
                <w:bCs/>
                <w:color w:val="000000"/>
                <w:sz w:val="20"/>
                <w:szCs w:val="20"/>
              </w:rPr>
            </w:pPr>
            <w:r>
              <w:rPr>
                <w:rFonts w:asciiTheme="minorHAnsi" w:eastAsia="华文细黑" w:hAnsiTheme="minorHAnsi" w:cs="Arial" w:hint="eastAsia"/>
                <w:b/>
                <w:bCs/>
                <w:color w:val="000000"/>
                <w:sz w:val="20"/>
                <w:szCs w:val="20"/>
              </w:rPr>
              <w:t>-</w:t>
            </w:r>
          </w:p>
        </w:tc>
        <w:tc>
          <w:tcPr>
            <w:tcW w:w="454" w:type="pct"/>
            <w:tcBorders>
              <w:top w:val="nil"/>
              <w:left w:val="nil"/>
              <w:bottom w:val="single" w:sz="4" w:space="0" w:color="auto"/>
              <w:right w:val="single" w:sz="4" w:space="0" w:color="auto"/>
            </w:tcBorders>
            <w:shd w:val="clear" w:color="auto" w:fill="auto"/>
            <w:noWrap/>
            <w:vAlign w:val="center"/>
            <w:hideMark/>
          </w:tcPr>
          <w:p w14:paraId="3969C0B0" w14:textId="77777777" w:rsidR="00A575ED" w:rsidRPr="004B465C" w:rsidRDefault="00A575ED" w:rsidP="00B80E50">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2911EC11" w14:textId="77777777" w:rsidR="00A575ED" w:rsidRPr="004B465C" w:rsidRDefault="00A575ED" w:rsidP="00B80E50">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8,824.91</w:t>
            </w:r>
          </w:p>
        </w:tc>
        <w:tc>
          <w:tcPr>
            <w:tcW w:w="449" w:type="pct"/>
            <w:tcBorders>
              <w:top w:val="nil"/>
              <w:left w:val="nil"/>
              <w:bottom w:val="single" w:sz="4" w:space="0" w:color="auto"/>
              <w:right w:val="single" w:sz="4" w:space="0" w:color="auto"/>
            </w:tcBorders>
            <w:shd w:val="clear" w:color="auto" w:fill="auto"/>
            <w:noWrap/>
            <w:vAlign w:val="center"/>
            <w:hideMark/>
          </w:tcPr>
          <w:p w14:paraId="2F9A10A2" w14:textId="77777777" w:rsidR="00A575ED" w:rsidRPr="004B465C" w:rsidRDefault="00A575ED" w:rsidP="00B80E50">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6,814.89</w:t>
            </w:r>
          </w:p>
        </w:tc>
        <w:tc>
          <w:tcPr>
            <w:tcW w:w="449" w:type="pct"/>
            <w:tcBorders>
              <w:top w:val="nil"/>
              <w:left w:val="nil"/>
              <w:bottom w:val="single" w:sz="4" w:space="0" w:color="auto"/>
              <w:right w:val="single" w:sz="4" w:space="0" w:color="auto"/>
            </w:tcBorders>
            <w:shd w:val="clear" w:color="auto" w:fill="auto"/>
            <w:noWrap/>
            <w:vAlign w:val="center"/>
            <w:hideMark/>
          </w:tcPr>
          <w:p w14:paraId="447CE321" w14:textId="77777777" w:rsidR="00A575ED" w:rsidRPr="004B465C" w:rsidRDefault="00A575ED" w:rsidP="00B80E50">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6,814.89</w:t>
            </w:r>
          </w:p>
        </w:tc>
        <w:tc>
          <w:tcPr>
            <w:tcW w:w="449" w:type="pct"/>
            <w:tcBorders>
              <w:top w:val="nil"/>
              <w:left w:val="nil"/>
              <w:bottom w:val="single" w:sz="4" w:space="0" w:color="auto"/>
              <w:right w:val="single" w:sz="4" w:space="0" w:color="auto"/>
            </w:tcBorders>
            <w:shd w:val="clear" w:color="auto" w:fill="auto"/>
            <w:noWrap/>
            <w:vAlign w:val="center"/>
            <w:hideMark/>
          </w:tcPr>
          <w:p w14:paraId="06223F62" w14:textId="77777777" w:rsidR="00A575ED" w:rsidRPr="004B465C" w:rsidRDefault="00A575ED" w:rsidP="00B80E50">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-9,085.11</w:t>
            </w:r>
          </w:p>
        </w:tc>
        <w:tc>
          <w:tcPr>
            <w:tcW w:w="449" w:type="pct"/>
            <w:tcBorders>
              <w:top w:val="nil"/>
              <w:left w:val="nil"/>
              <w:bottom w:val="single" w:sz="4" w:space="0" w:color="auto"/>
              <w:right w:val="single" w:sz="4" w:space="0" w:color="auto"/>
            </w:tcBorders>
            <w:shd w:val="clear" w:color="auto" w:fill="auto"/>
            <w:noWrap/>
            <w:vAlign w:val="center"/>
            <w:hideMark/>
          </w:tcPr>
          <w:p w14:paraId="6AE656A2" w14:textId="77777777" w:rsidR="00A575ED" w:rsidRPr="004B465C" w:rsidRDefault="00A575ED" w:rsidP="00B80E50">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7,244.19</w:t>
            </w:r>
          </w:p>
        </w:tc>
        <w:tc>
          <w:tcPr>
            <w:tcW w:w="449" w:type="pct"/>
            <w:tcBorders>
              <w:top w:val="nil"/>
              <w:left w:val="nil"/>
              <w:bottom w:val="single" w:sz="4" w:space="0" w:color="auto"/>
              <w:right w:val="single" w:sz="4" w:space="0" w:color="auto"/>
            </w:tcBorders>
            <w:shd w:val="clear" w:color="auto" w:fill="auto"/>
            <w:noWrap/>
            <w:vAlign w:val="center"/>
            <w:hideMark/>
          </w:tcPr>
          <w:p w14:paraId="2196825C" w14:textId="77777777" w:rsidR="00A575ED" w:rsidRPr="004B465C" w:rsidRDefault="00A575ED" w:rsidP="00B80E50">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7,244.19</w:t>
            </w:r>
          </w:p>
        </w:tc>
        <w:tc>
          <w:tcPr>
            <w:tcW w:w="449" w:type="pct"/>
            <w:tcBorders>
              <w:top w:val="nil"/>
              <w:left w:val="nil"/>
              <w:bottom w:val="single" w:sz="4" w:space="0" w:color="auto"/>
              <w:right w:val="single" w:sz="4" w:space="0" w:color="auto"/>
            </w:tcBorders>
            <w:shd w:val="clear" w:color="auto" w:fill="auto"/>
            <w:noWrap/>
            <w:vAlign w:val="center"/>
            <w:hideMark/>
          </w:tcPr>
          <w:p w14:paraId="2613C07E" w14:textId="77777777" w:rsidR="00A575ED" w:rsidRPr="004B465C" w:rsidRDefault="00A575ED" w:rsidP="00B80E50">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7,244.19</w:t>
            </w:r>
          </w:p>
        </w:tc>
      </w:tr>
      <w:tr w:rsidR="00A575ED" w:rsidRPr="005A52C7" w14:paraId="39156616" w14:textId="77777777" w:rsidTr="00B80E50">
        <w:trPr>
          <w:trHeight w:val="312"/>
          <w:jc w:val="center"/>
        </w:trPr>
        <w:tc>
          <w:tcPr>
            <w:tcW w:w="794" w:type="pct"/>
            <w:tcBorders>
              <w:top w:val="nil"/>
              <w:left w:val="single" w:sz="4" w:space="0" w:color="auto"/>
              <w:bottom w:val="single" w:sz="4" w:space="0" w:color="auto"/>
              <w:right w:val="single" w:sz="4" w:space="0" w:color="auto"/>
            </w:tcBorders>
            <w:shd w:val="clear" w:color="auto" w:fill="auto"/>
            <w:noWrap/>
            <w:vAlign w:val="center"/>
            <w:hideMark/>
          </w:tcPr>
          <w:p w14:paraId="6025E777" w14:textId="77777777" w:rsidR="00A575ED" w:rsidRPr="004B465C" w:rsidRDefault="00A575ED" w:rsidP="00B80E50">
            <w:pPr>
              <w:jc w:val="both"/>
              <w:rPr>
                <w:rFonts w:asciiTheme="minorHAnsi" w:eastAsia="华文细黑" w:hAnsiTheme="minorHAnsi" w:cs="Arial"/>
                <w:b/>
                <w:bCs/>
                <w:color w:val="000000"/>
                <w:sz w:val="20"/>
                <w:szCs w:val="20"/>
              </w:rPr>
            </w:pPr>
            <w:r w:rsidRPr="004B465C">
              <w:rPr>
                <w:rFonts w:asciiTheme="minorHAnsi" w:eastAsia="华文细黑" w:hAnsiTheme="minorHAnsi" w:cs="Arial" w:hint="eastAsia"/>
                <w:b/>
                <w:bCs/>
                <w:color w:val="000000"/>
                <w:sz w:val="20"/>
                <w:szCs w:val="20"/>
              </w:rPr>
              <w:t>期末项目累计现金结存额</w:t>
            </w:r>
          </w:p>
        </w:tc>
        <w:tc>
          <w:tcPr>
            <w:tcW w:w="607" w:type="pct"/>
            <w:tcBorders>
              <w:top w:val="nil"/>
              <w:left w:val="nil"/>
              <w:bottom w:val="single" w:sz="4" w:space="0" w:color="auto"/>
              <w:right w:val="single" w:sz="4" w:space="0" w:color="auto"/>
            </w:tcBorders>
            <w:shd w:val="clear" w:color="auto" w:fill="auto"/>
            <w:noWrap/>
            <w:vAlign w:val="center"/>
            <w:hideMark/>
          </w:tcPr>
          <w:p w14:paraId="292D980C" w14:textId="77777777" w:rsidR="00A575ED" w:rsidRPr="004B465C" w:rsidRDefault="00A575ED" w:rsidP="00B80E50">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w:t>
            </w:r>
          </w:p>
        </w:tc>
        <w:tc>
          <w:tcPr>
            <w:tcW w:w="454" w:type="pct"/>
            <w:tcBorders>
              <w:top w:val="nil"/>
              <w:left w:val="nil"/>
              <w:bottom w:val="single" w:sz="4" w:space="0" w:color="auto"/>
              <w:right w:val="single" w:sz="4" w:space="0" w:color="auto"/>
            </w:tcBorders>
            <w:shd w:val="clear" w:color="auto" w:fill="auto"/>
            <w:noWrap/>
            <w:vAlign w:val="center"/>
            <w:hideMark/>
          </w:tcPr>
          <w:p w14:paraId="552ED9B4" w14:textId="77777777" w:rsidR="00A575ED" w:rsidRPr="004B465C" w:rsidRDefault="00A575ED" w:rsidP="00B80E50">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0162A3F6" w14:textId="77777777" w:rsidR="00A575ED" w:rsidRPr="004B465C" w:rsidRDefault="00A575ED" w:rsidP="00B80E50">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8,824.91</w:t>
            </w:r>
          </w:p>
        </w:tc>
        <w:tc>
          <w:tcPr>
            <w:tcW w:w="449" w:type="pct"/>
            <w:tcBorders>
              <w:top w:val="nil"/>
              <w:left w:val="nil"/>
              <w:bottom w:val="single" w:sz="4" w:space="0" w:color="auto"/>
              <w:right w:val="single" w:sz="4" w:space="0" w:color="auto"/>
            </w:tcBorders>
            <w:shd w:val="clear" w:color="auto" w:fill="auto"/>
            <w:noWrap/>
            <w:vAlign w:val="center"/>
            <w:hideMark/>
          </w:tcPr>
          <w:p w14:paraId="4038D87A" w14:textId="77777777" w:rsidR="00A575ED" w:rsidRPr="004B465C" w:rsidRDefault="00A575ED" w:rsidP="00B80E50">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15,639.80</w:t>
            </w:r>
          </w:p>
        </w:tc>
        <w:tc>
          <w:tcPr>
            <w:tcW w:w="449" w:type="pct"/>
            <w:tcBorders>
              <w:top w:val="nil"/>
              <w:left w:val="nil"/>
              <w:bottom w:val="single" w:sz="4" w:space="0" w:color="auto"/>
              <w:right w:val="single" w:sz="4" w:space="0" w:color="auto"/>
            </w:tcBorders>
            <w:shd w:val="clear" w:color="auto" w:fill="auto"/>
            <w:noWrap/>
            <w:vAlign w:val="center"/>
            <w:hideMark/>
          </w:tcPr>
          <w:p w14:paraId="5FD59E6E" w14:textId="77777777" w:rsidR="00A575ED" w:rsidRPr="004B465C" w:rsidRDefault="00A575ED" w:rsidP="00B80E50">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22,454.68</w:t>
            </w:r>
          </w:p>
        </w:tc>
        <w:tc>
          <w:tcPr>
            <w:tcW w:w="449" w:type="pct"/>
            <w:tcBorders>
              <w:top w:val="nil"/>
              <w:left w:val="nil"/>
              <w:bottom w:val="single" w:sz="4" w:space="0" w:color="auto"/>
              <w:right w:val="single" w:sz="4" w:space="0" w:color="auto"/>
            </w:tcBorders>
            <w:shd w:val="clear" w:color="auto" w:fill="auto"/>
            <w:noWrap/>
            <w:vAlign w:val="center"/>
            <w:hideMark/>
          </w:tcPr>
          <w:p w14:paraId="212BCCA9" w14:textId="77777777" w:rsidR="00A575ED" w:rsidRPr="004B465C" w:rsidRDefault="00A575ED" w:rsidP="00B80E50">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13,369.57</w:t>
            </w:r>
          </w:p>
        </w:tc>
        <w:tc>
          <w:tcPr>
            <w:tcW w:w="449" w:type="pct"/>
            <w:tcBorders>
              <w:top w:val="nil"/>
              <w:left w:val="nil"/>
              <w:bottom w:val="single" w:sz="4" w:space="0" w:color="auto"/>
              <w:right w:val="single" w:sz="4" w:space="0" w:color="auto"/>
            </w:tcBorders>
            <w:shd w:val="clear" w:color="auto" w:fill="auto"/>
            <w:noWrap/>
            <w:vAlign w:val="center"/>
            <w:hideMark/>
          </w:tcPr>
          <w:p w14:paraId="28573C0C" w14:textId="77777777" w:rsidR="00A575ED" w:rsidRPr="004B465C" w:rsidRDefault="00A575ED" w:rsidP="00B80E50">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20,613.75</w:t>
            </w:r>
          </w:p>
        </w:tc>
        <w:tc>
          <w:tcPr>
            <w:tcW w:w="449" w:type="pct"/>
            <w:tcBorders>
              <w:top w:val="nil"/>
              <w:left w:val="nil"/>
              <w:bottom w:val="single" w:sz="4" w:space="0" w:color="auto"/>
              <w:right w:val="single" w:sz="4" w:space="0" w:color="auto"/>
            </w:tcBorders>
            <w:shd w:val="clear" w:color="auto" w:fill="auto"/>
            <w:noWrap/>
            <w:vAlign w:val="center"/>
            <w:hideMark/>
          </w:tcPr>
          <w:p w14:paraId="35A76B3B" w14:textId="77777777" w:rsidR="00A575ED" w:rsidRPr="004B465C" w:rsidRDefault="00A575ED" w:rsidP="00B80E50">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27,857.94</w:t>
            </w:r>
          </w:p>
        </w:tc>
        <w:tc>
          <w:tcPr>
            <w:tcW w:w="449" w:type="pct"/>
            <w:tcBorders>
              <w:top w:val="nil"/>
              <w:left w:val="nil"/>
              <w:bottom w:val="single" w:sz="4" w:space="0" w:color="auto"/>
              <w:right w:val="single" w:sz="4" w:space="0" w:color="auto"/>
            </w:tcBorders>
            <w:shd w:val="clear" w:color="auto" w:fill="auto"/>
            <w:noWrap/>
            <w:vAlign w:val="center"/>
            <w:hideMark/>
          </w:tcPr>
          <w:p w14:paraId="72C98C39" w14:textId="77777777" w:rsidR="00A575ED" w:rsidRPr="004B465C" w:rsidRDefault="00A575ED" w:rsidP="00B80E50">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35,102.13</w:t>
            </w:r>
          </w:p>
        </w:tc>
      </w:tr>
    </w:tbl>
    <w:p w14:paraId="7E6046EA" w14:textId="694E038E" w:rsidR="00563500" w:rsidRDefault="00563500">
      <w:pPr>
        <w:jc w:val="right"/>
        <w:rPr>
          <w:rFonts w:ascii="Verdana" w:eastAsia="华文细黑" w:hAnsi="Verdana" w:cs="Calibri"/>
          <w:color w:val="000000"/>
          <w:sz w:val="20"/>
          <w:szCs w:val="20"/>
        </w:rPr>
      </w:pPr>
    </w:p>
    <w:p w14:paraId="572B1951" w14:textId="77777777" w:rsidR="00A575ED" w:rsidRDefault="00A575ED">
      <w:pPr>
        <w:jc w:val="right"/>
        <w:rPr>
          <w:rFonts w:ascii="Verdana" w:eastAsia="华文细黑" w:hAnsi="Verdana" w:cs="Calibri"/>
          <w:color w:val="000000"/>
          <w:sz w:val="20"/>
          <w:szCs w:val="20"/>
        </w:rPr>
      </w:pPr>
    </w:p>
    <w:p w14:paraId="4A60D6C1" w14:textId="7574013C" w:rsidR="005A52C7" w:rsidRPr="00A575ED" w:rsidRDefault="005A52C7">
      <w:pPr>
        <w:jc w:val="right"/>
        <w:rPr>
          <w:rFonts w:ascii="Verdana" w:eastAsia="华文细黑" w:hAnsi="Verdana" w:cs="Calibri"/>
          <w:color w:val="000000"/>
          <w:sz w:val="20"/>
          <w:szCs w:val="20"/>
        </w:rPr>
      </w:pPr>
    </w:p>
    <w:p w14:paraId="21E10EBB" w14:textId="77777777" w:rsidR="00E20390" w:rsidRPr="007072FB" w:rsidRDefault="00E20390">
      <w:pPr>
        <w:jc w:val="right"/>
        <w:rPr>
          <w:rFonts w:ascii="Verdana" w:eastAsia="华文细黑" w:hAnsi="Verdana" w:cs="Calibri"/>
          <w:color w:val="000000"/>
          <w:sz w:val="20"/>
          <w:szCs w:val="20"/>
        </w:rPr>
      </w:pPr>
    </w:p>
    <w:p w14:paraId="02102A86" w14:textId="77777777" w:rsidR="000D1B9A" w:rsidRPr="007072FB" w:rsidRDefault="000D1B9A">
      <w:pPr>
        <w:jc w:val="right"/>
        <w:rPr>
          <w:rFonts w:ascii="Verdana" w:eastAsia="华文细黑" w:hAnsi="Verdana" w:cs="Calibri"/>
          <w:color w:val="000000"/>
          <w:sz w:val="20"/>
          <w:szCs w:val="20"/>
        </w:rPr>
      </w:pPr>
    </w:p>
    <w:p w14:paraId="413BFEB1" w14:textId="77777777" w:rsidR="000D1B9A" w:rsidRPr="007072FB" w:rsidRDefault="000D1B9A">
      <w:pPr>
        <w:ind w:right="54"/>
        <w:rPr>
          <w:rFonts w:ascii="Verdana" w:eastAsia="华文细黑" w:hAnsi="Verdana" w:cs="Calibri"/>
          <w:color w:val="000000"/>
          <w:sz w:val="20"/>
          <w:szCs w:val="20"/>
        </w:rPr>
      </w:pPr>
    </w:p>
    <w:p w14:paraId="35A6A5FE" w14:textId="77777777" w:rsidR="000D1B9A" w:rsidRPr="007072FB" w:rsidRDefault="000D1B9A">
      <w:pPr>
        <w:ind w:right="-746"/>
        <w:jc w:val="right"/>
        <w:rPr>
          <w:rFonts w:ascii="Verdana" w:eastAsia="华文细黑" w:hAnsi="Verdana" w:cs="Calibri"/>
          <w:color w:val="000000"/>
          <w:sz w:val="20"/>
          <w:szCs w:val="20"/>
        </w:rPr>
      </w:pPr>
    </w:p>
    <w:p w14:paraId="553ADC03" w14:textId="77777777" w:rsidR="000D1B9A" w:rsidRPr="007072FB" w:rsidRDefault="000D1B9A">
      <w:pPr>
        <w:jc w:val="center"/>
        <w:rPr>
          <w:rFonts w:ascii="Verdana" w:eastAsia="华文细黑" w:hAnsi="Verdana" w:cs="Calibri"/>
          <w:color w:val="000000"/>
          <w:sz w:val="20"/>
          <w:szCs w:val="20"/>
        </w:rPr>
      </w:pPr>
    </w:p>
    <w:p w14:paraId="4E1737A8" w14:textId="77777777" w:rsidR="000D1B9A" w:rsidRPr="007072FB" w:rsidRDefault="00000000">
      <w:pPr>
        <w:rPr>
          <w:rFonts w:ascii="Verdana" w:eastAsia="华文细黑" w:hAnsi="Verdana" w:cs="Calibri"/>
          <w:color w:val="000000"/>
          <w:sz w:val="20"/>
          <w:szCs w:val="20"/>
        </w:rPr>
      </w:pPr>
      <w:r w:rsidRPr="007072FB">
        <w:rPr>
          <w:rFonts w:ascii="Verdana" w:eastAsia="华文细黑" w:hAnsi="Verdana" w:cs="Calibri"/>
          <w:color w:val="000000"/>
          <w:sz w:val="20"/>
          <w:szCs w:val="20"/>
        </w:rPr>
        <w:br w:type="page"/>
      </w:r>
    </w:p>
    <w:p w14:paraId="6BBEF654" w14:textId="4D2D49B3" w:rsidR="000D1B9A" w:rsidRPr="007072FB" w:rsidRDefault="00000000">
      <w:pPr>
        <w:jc w:val="center"/>
        <w:rPr>
          <w:rFonts w:ascii="Verdana" w:eastAsia="华文细黑" w:hAnsi="Verdana" w:cs="Calibri"/>
          <w:b/>
          <w:color w:val="000000"/>
        </w:rPr>
      </w:pPr>
      <w:r w:rsidRPr="007072FB">
        <w:rPr>
          <w:rFonts w:ascii="Verdana" w:eastAsia="华文细黑" w:hAnsi="Verdana" w:cs="Calibri"/>
          <w:b/>
          <w:color w:val="000000"/>
        </w:rPr>
        <w:lastRenderedPageBreak/>
        <w:t>表</w:t>
      </w:r>
      <w:r w:rsidR="00913C47">
        <w:rPr>
          <w:rFonts w:ascii="Verdana" w:eastAsia="华文细黑" w:hAnsi="Verdana" w:cs="Calibri" w:hint="eastAsia"/>
          <w:b/>
          <w:color w:val="000000"/>
        </w:rPr>
        <w:t>6</w:t>
      </w:r>
      <w:r w:rsidRPr="007072FB">
        <w:rPr>
          <w:rFonts w:ascii="Verdana" w:eastAsia="华文细黑" w:hAnsi="Verdana" w:cs="Calibri"/>
          <w:b/>
          <w:color w:val="000000"/>
        </w:rPr>
        <w:t>项目现金流平衡表（续表）</w:t>
      </w:r>
    </w:p>
    <w:p w14:paraId="71D45803" w14:textId="77777777" w:rsidR="004B2513" w:rsidRDefault="00000000" w:rsidP="003C3C26">
      <w:pPr>
        <w:ind w:rightChars="-251" w:right="-602"/>
        <w:jc w:val="right"/>
        <w:rPr>
          <w:rFonts w:ascii="Verdana" w:eastAsia="华文细黑" w:hAnsi="Verdana" w:cs="Calibri"/>
          <w:color w:val="000000"/>
          <w:sz w:val="20"/>
          <w:szCs w:val="20"/>
        </w:rPr>
      </w:pPr>
      <w:r w:rsidRPr="007072FB">
        <w:rPr>
          <w:rFonts w:ascii="Verdana" w:eastAsia="华文细黑" w:hAnsi="Verdana" w:cs="Calibri"/>
          <w:color w:val="000000"/>
          <w:sz w:val="20"/>
          <w:szCs w:val="20"/>
        </w:rPr>
        <w:t>单位：人民币万元</w:t>
      </w:r>
    </w:p>
    <w:tbl>
      <w:tblPr>
        <w:tblW w:w="5122" w:type="pct"/>
        <w:jc w:val="center"/>
        <w:tblLook w:val="04A0" w:firstRow="1" w:lastRow="0" w:firstColumn="1" w:lastColumn="0" w:noHBand="0" w:noVBand="1"/>
      </w:tblPr>
      <w:tblGrid>
        <w:gridCol w:w="2419"/>
        <w:gridCol w:w="1356"/>
        <w:gridCol w:w="1356"/>
        <w:gridCol w:w="1356"/>
        <w:gridCol w:w="1356"/>
        <w:gridCol w:w="1356"/>
        <w:gridCol w:w="1452"/>
        <w:gridCol w:w="1356"/>
        <w:gridCol w:w="1356"/>
        <w:gridCol w:w="1499"/>
      </w:tblGrid>
      <w:tr w:rsidR="004B2513" w:rsidRPr="004B2513" w14:paraId="100CC1B1" w14:textId="77777777" w:rsidTr="004B465C">
        <w:trPr>
          <w:trHeight w:val="312"/>
          <w:jc w:val="center"/>
        </w:trPr>
        <w:tc>
          <w:tcPr>
            <w:tcW w:w="788" w:type="pct"/>
            <w:tcBorders>
              <w:top w:val="single" w:sz="4" w:space="0" w:color="auto"/>
              <w:left w:val="single" w:sz="4" w:space="0" w:color="auto"/>
              <w:bottom w:val="single" w:sz="4" w:space="0" w:color="auto"/>
              <w:right w:val="single" w:sz="4" w:space="0" w:color="auto"/>
            </w:tcBorders>
            <w:shd w:val="clear" w:color="000000" w:fill="0070C0"/>
            <w:noWrap/>
            <w:vAlign w:val="center"/>
            <w:hideMark/>
          </w:tcPr>
          <w:p w14:paraId="7A41690B" w14:textId="762BDDB2" w:rsidR="004B2513" w:rsidRPr="004B465C" w:rsidRDefault="00563500" w:rsidP="004B465C">
            <w:pPr>
              <w:jc w:val="center"/>
              <w:rPr>
                <w:rFonts w:asciiTheme="minorHAnsi" w:eastAsia="华文细黑" w:hAnsiTheme="minorHAnsi" w:cs="宋体"/>
                <w:b/>
                <w:bCs/>
                <w:color w:val="FFFFFF"/>
                <w:sz w:val="20"/>
                <w:szCs w:val="20"/>
              </w:rPr>
            </w:pPr>
            <w:r>
              <w:rPr>
                <w:rFonts w:asciiTheme="minorHAnsi" w:eastAsia="华文细黑" w:hAnsiTheme="minorHAnsi" w:cs="宋体" w:hint="eastAsia"/>
                <w:b/>
                <w:bCs/>
                <w:color w:val="FFFFFF"/>
                <w:sz w:val="20"/>
                <w:szCs w:val="20"/>
              </w:rPr>
              <w:t>年度</w:t>
            </w:r>
          </w:p>
        </w:tc>
        <w:tc>
          <w:tcPr>
            <w:tcW w:w="446" w:type="pct"/>
            <w:tcBorders>
              <w:top w:val="single" w:sz="4" w:space="0" w:color="auto"/>
              <w:left w:val="nil"/>
              <w:bottom w:val="single" w:sz="4" w:space="0" w:color="auto"/>
              <w:right w:val="single" w:sz="4" w:space="0" w:color="auto"/>
            </w:tcBorders>
            <w:shd w:val="clear" w:color="000000" w:fill="0070C0"/>
            <w:noWrap/>
            <w:vAlign w:val="center"/>
            <w:hideMark/>
          </w:tcPr>
          <w:p w14:paraId="3A67B1E0" w14:textId="77777777" w:rsidR="004B2513" w:rsidRPr="004B465C" w:rsidRDefault="004B2513" w:rsidP="004B465C">
            <w:pPr>
              <w:jc w:val="center"/>
              <w:rPr>
                <w:rFonts w:asciiTheme="minorHAnsi" w:eastAsia="华文细黑" w:hAnsiTheme="minorHAnsi" w:cs="Arial"/>
                <w:b/>
                <w:bCs/>
                <w:color w:val="FFFFFF"/>
                <w:sz w:val="20"/>
                <w:szCs w:val="20"/>
              </w:rPr>
            </w:pPr>
            <w:r w:rsidRPr="004B465C">
              <w:rPr>
                <w:rFonts w:asciiTheme="minorHAnsi" w:eastAsia="华文细黑" w:hAnsiTheme="minorHAnsi" w:cs="Arial"/>
                <w:b/>
                <w:bCs/>
                <w:color w:val="FFFFFF"/>
                <w:sz w:val="20"/>
                <w:szCs w:val="20"/>
              </w:rPr>
              <w:t>2032</w:t>
            </w:r>
          </w:p>
        </w:tc>
        <w:tc>
          <w:tcPr>
            <w:tcW w:w="446" w:type="pct"/>
            <w:tcBorders>
              <w:top w:val="single" w:sz="4" w:space="0" w:color="auto"/>
              <w:left w:val="nil"/>
              <w:bottom w:val="single" w:sz="4" w:space="0" w:color="auto"/>
              <w:right w:val="single" w:sz="4" w:space="0" w:color="auto"/>
            </w:tcBorders>
            <w:shd w:val="clear" w:color="000000" w:fill="0070C0"/>
            <w:noWrap/>
            <w:vAlign w:val="center"/>
            <w:hideMark/>
          </w:tcPr>
          <w:p w14:paraId="371FA0FD" w14:textId="77777777" w:rsidR="004B2513" w:rsidRPr="004B465C" w:rsidRDefault="004B2513" w:rsidP="004B465C">
            <w:pPr>
              <w:jc w:val="center"/>
              <w:rPr>
                <w:rFonts w:asciiTheme="minorHAnsi" w:eastAsia="华文细黑" w:hAnsiTheme="minorHAnsi" w:cs="Arial"/>
                <w:b/>
                <w:bCs/>
                <w:color w:val="FFFFFF"/>
                <w:sz w:val="20"/>
                <w:szCs w:val="20"/>
              </w:rPr>
            </w:pPr>
            <w:r w:rsidRPr="004B465C">
              <w:rPr>
                <w:rFonts w:asciiTheme="minorHAnsi" w:eastAsia="华文细黑" w:hAnsiTheme="minorHAnsi" w:cs="Arial"/>
                <w:b/>
                <w:bCs/>
                <w:color w:val="FFFFFF"/>
                <w:sz w:val="20"/>
                <w:szCs w:val="20"/>
              </w:rPr>
              <w:t>2033</w:t>
            </w:r>
          </w:p>
        </w:tc>
        <w:tc>
          <w:tcPr>
            <w:tcW w:w="446" w:type="pct"/>
            <w:tcBorders>
              <w:top w:val="single" w:sz="4" w:space="0" w:color="auto"/>
              <w:left w:val="nil"/>
              <w:bottom w:val="single" w:sz="4" w:space="0" w:color="auto"/>
              <w:right w:val="single" w:sz="4" w:space="0" w:color="auto"/>
            </w:tcBorders>
            <w:shd w:val="clear" w:color="000000" w:fill="0070C0"/>
            <w:noWrap/>
            <w:vAlign w:val="center"/>
            <w:hideMark/>
          </w:tcPr>
          <w:p w14:paraId="536FCFBE" w14:textId="77777777" w:rsidR="004B2513" w:rsidRPr="004B465C" w:rsidRDefault="004B2513" w:rsidP="004B465C">
            <w:pPr>
              <w:jc w:val="center"/>
              <w:rPr>
                <w:rFonts w:asciiTheme="minorHAnsi" w:eastAsia="华文细黑" w:hAnsiTheme="minorHAnsi" w:cs="Arial"/>
                <w:b/>
                <w:bCs/>
                <w:color w:val="FFFFFF"/>
                <w:sz w:val="20"/>
                <w:szCs w:val="20"/>
              </w:rPr>
            </w:pPr>
            <w:r w:rsidRPr="004B465C">
              <w:rPr>
                <w:rFonts w:asciiTheme="minorHAnsi" w:eastAsia="华文细黑" w:hAnsiTheme="minorHAnsi" w:cs="Arial"/>
                <w:b/>
                <w:bCs/>
                <w:color w:val="FFFFFF"/>
                <w:sz w:val="20"/>
                <w:szCs w:val="20"/>
              </w:rPr>
              <w:t>2034</w:t>
            </w:r>
          </w:p>
        </w:tc>
        <w:tc>
          <w:tcPr>
            <w:tcW w:w="446" w:type="pct"/>
            <w:tcBorders>
              <w:top w:val="single" w:sz="4" w:space="0" w:color="auto"/>
              <w:left w:val="nil"/>
              <w:bottom w:val="single" w:sz="4" w:space="0" w:color="auto"/>
              <w:right w:val="single" w:sz="4" w:space="0" w:color="auto"/>
            </w:tcBorders>
            <w:shd w:val="clear" w:color="000000" w:fill="0070C0"/>
            <w:noWrap/>
            <w:vAlign w:val="center"/>
            <w:hideMark/>
          </w:tcPr>
          <w:p w14:paraId="038190F5" w14:textId="77777777" w:rsidR="004B2513" w:rsidRPr="004B465C" w:rsidRDefault="004B2513" w:rsidP="004B465C">
            <w:pPr>
              <w:jc w:val="center"/>
              <w:rPr>
                <w:rFonts w:asciiTheme="minorHAnsi" w:eastAsia="华文细黑" w:hAnsiTheme="minorHAnsi" w:cs="Arial"/>
                <w:b/>
                <w:bCs/>
                <w:color w:val="FFFFFF"/>
                <w:sz w:val="20"/>
                <w:szCs w:val="20"/>
              </w:rPr>
            </w:pPr>
            <w:r w:rsidRPr="004B465C">
              <w:rPr>
                <w:rFonts w:asciiTheme="minorHAnsi" w:eastAsia="华文细黑" w:hAnsiTheme="minorHAnsi" w:cs="Arial"/>
                <w:b/>
                <w:bCs/>
                <w:color w:val="FFFFFF"/>
                <w:sz w:val="20"/>
                <w:szCs w:val="20"/>
              </w:rPr>
              <w:t>2035</w:t>
            </w:r>
          </w:p>
        </w:tc>
        <w:tc>
          <w:tcPr>
            <w:tcW w:w="446" w:type="pct"/>
            <w:tcBorders>
              <w:top w:val="single" w:sz="4" w:space="0" w:color="auto"/>
              <w:left w:val="nil"/>
              <w:bottom w:val="single" w:sz="4" w:space="0" w:color="auto"/>
              <w:right w:val="single" w:sz="4" w:space="0" w:color="auto"/>
            </w:tcBorders>
            <w:shd w:val="clear" w:color="000000" w:fill="0070C0"/>
            <w:noWrap/>
            <w:vAlign w:val="center"/>
            <w:hideMark/>
          </w:tcPr>
          <w:p w14:paraId="1CA2ADD2" w14:textId="77777777" w:rsidR="004B2513" w:rsidRPr="004B465C" w:rsidRDefault="004B2513" w:rsidP="004B465C">
            <w:pPr>
              <w:jc w:val="center"/>
              <w:rPr>
                <w:rFonts w:asciiTheme="minorHAnsi" w:eastAsia="华文细黑" w:hAnsiTheme="minorHAnsi" w:cs="Arial"/>
                <w:b/>
                <w:bCs/>
                <w:color w:val="FFFFFF"/>
                <w:sz w:val="20"/>
                <w:szCs w:val="20"/>
              </w:rPr>
            </w:pPr>
            <w:r w:rsidRPr="004B465C">
              <w:rPr>
                <w:rFonts w:asciiTheme="minorHAnsi" w:eastAsia="华文细黑" w:hAnsiTheme="minorHAnsi" w:cs="Arial"/>
                <w:b/>
                <w:bCs/>
                <w:color w:val="FFFFFF"/>
                <w:sz w:val="20"/>
                <w:szCs w:val="20"/>
              </w:rPr>
              <w:t>2036</w:t>
            </w:r>
          </w:p>
        </w:tc>
        <w:tc>
          <w:tcPr>
            <w:tcW w:w="477" w:type="pct"/>
            <w:tcBorders>
              <w:top w:val="single" w:sz="4" w:space="0" w:color="auto"/>
              <w:left w:val="nil"/>
              <w:bottom w:val="single" w:sz="4" w:space="0" w:color="auto"/>
              <w:right w:val="single" w:sz="4" w:space="0" w:color="auto"/>
            </w:tcBorders>
            <w:shd w:val="clear" w:color="000000" w:fill="0070C0"/>
            <w:noWrap/>
            <w:vAlign w:val="center"/>
            <w:hideMark/>
          </w:tcPr>
          <w:p w14:paraId="27F30837" w14:textId="77777777" w:rsidR="004B2513" w:rsidRPr="004B465C" w:rsidRDefault="004B2513" w:rsidP="004B465C">
            <w:pPr>
              <w:jc w:val="center"/>
              <w:rPr>
                <w:rFonts w:asciiTheme="minorHAnsi" w:eastAsia="华文细黑" w:hAnsiTheme="minorHAnsi" w:cs="Arial"/>
                <w:b/>
                <w:bCs/>
                <w:color w:val="FFFFFF"/>
                <w:sz w:val="20"/>
                <w:szCs w:val="20"/>
              </w:rPr>
            </w:pPr>
            <w:r w:rsidRPr="004B465C">
              <w:rPr>
                <w:rFonts w:asciiTheme="minorHAnsi" w:eastAsia="华文细黑" w:hAnsiTheme="minorHAnsi" w:cs="Arial"/>
                <w:b/>
                <w:bCs/>
                <w:color w:val="FFFFFF"/>
                <w:sz w:val="20"/>
                <w:szCs w:val="20"/>
              </w:rPr>
              <w:t>2037</w:t>
            </w:r>
          </w:p>
        </w:tc>
        <w:tc>
          <w:tcPr>
            <w:tcW w:w="446" w:type="pct"/>
            <w:tcBorders>
              <w:top w:val="single" w:sz="4" w:space="0" w:color="auto"/>
              <w:left w:val="nil"/>
              <w:bottom w:val="single" w:sz="4" w:space="0" w:color="auto"/>
              <w:right w:val="single" w:sz="4" w:space="0" w:color="auto"/>
            </w:tcBorders>
            <w:shd w:val="clear" w:color="000000" w:fill="0070C0"/>
            <w:noWrap/>
            <w:vAlign w:val="center"/>
            <w:hideMark/>
          </w:tcPr>
          <w:p w14:paraId="318EDEED" w14:textId="77777777" w:rsidR="004B2513" w:rsidRPr="004B465C" w:rsidRDefault="004B2513" w:rsidP="004B465C">
            <w:pPr>
              <w:jc w:val="center"/>
              <w:rPr>
                <w:rFonts w:asciiTheme="minorHAnsi" w:eastAsia="华文细黑" w:hAnsiTheme="minorHAnsi" w:cs="Arial"/>
                <w:b/>
                <w:bCs/>
                <w:color w:val="FFFFFF"/>
                <w:sz w:val="20"/>
                <w:szCs w:val="20"/>
              </w:rPr>
            </w:pPr>
            <w:r w:rsidRPr="004B465C">
              <w:rPr>
                <w:rFonts w:asciiTheme="minorHAnsi" w:eastAsia="华文细黑" w:hAnsiTheme="minorHAnsi" w:cs="Arial"/>
                <w:b/>
                <w:bCs/>
                <w:color w:val="FFFFFF"/>
                <w:sz w:val="20"/>
                <w:szCs w:val="20"/>
              </w:rPr>
              <w:t>2038</w:t>
            </w:r>
          </w:p>
        </w:tc>
        <w:tc>
          <w:tcPr>
            <w:tcW w:w="446" w:type="pct"/>
            <w:tcBorders>
              <w:top w:val="single" w:sz="4" w:space="0" w:color="auto"/>
              <w:left w:val="nil"/>
              <w:bottom w:val="single" w:sz="4" w:space="0" w:color="auto"/>
              <w:right w:val="single" w:sz="4" w:space="0" w:color="auto"/>
            </w:tcBorders>
            <w:shd w:val="clear" w:color="000000" w:fill="0070C0"/>
            <w:noWrap/>
            <w:vAlign w:val="center"/>
            <w:hideMark/>
          </w:tcPr>
          <w:p w14:paraId="510B05BC" w14:textId="77777777" w:rsidR="004B2513" w:rsidRPr="004B465C" w:rsidRDefault="004B2513" w:rsidP="004B465C">
            <w:pPr>
              <w:jc w:val="center"/>
              <w:rPr>
                <w:rFonts w:asciiTheme="minorHAnsi" w:eastAsia="华文细黑" w:hAnsiTheme="minorHAnsi" w:cs="Arial"/>
                <w:b/>
                <w:bCs/>
                <w:color w:val="FFFFFF"/>
                <w:sz w:val="20"/>
                <w:szCs w:val="20"/>
              </w:rPr>
            </w:pPr>
            <w:r w:rsidRPr="004B465C">
              <w:rPr>
                <w:rFonts w:asciiTheme="minorHAnsi" w:eastAsia="华文细黑" w:hAnsiTheme="minorHAnsi" w:cs="Arial"/>
                <w:b/>
                <w:bCs/>
                <w:color w:val="FFFFFF"/>
                <w:sz w:val="20"/>
                <w:szCs w:val="20"/>
              </w:rPr>
              <w:t>2039</w:t>
            </w:r>
          </w:p>
        </w:tc>
        <w:tc>
          <w:tcPr>
            <w:tcW w:w="612" w:type="pct"/>
            <w:tcBorders>
              <w:top w:val="single" w:sz="4" w:space="0" w:color="auto"/>
              <w:left w:val="nil"/>
              <w:bottom w:val="single" w:sz="4" w:space="0" w:color="auto"/>
              <w:right w:val="single" w:sz="4" w:space="0" w:color="auto"/>
            </w:tcBorders>
            <w:shd w:val="clear" w:color="000000" w:fill="0070C0"/>
            <w:noWrap/>
            <w:vAlign w:val="center"/>
            <w:hideMark/>
          </w:tcPr>
          <w:p w14:paraId="2EE7DCC2" w14:textId="2211F271" w:rsidR="004B2513" w:rsidRPr="004B465C" w:rsidRDefault="004B2513" w:rsidP="004B465C">
            <w:pPr>
              <w:jc w:val="center"/>
              <w:rPr>
                <w:rFonts w:asciiTheme="minorHAnsi" w:eastAsia="华文细黑" w:hAnsiTheme="minorHAnsi" w:cs="Arial"/>
                <w:b/>
                <w:bCs/>
                <w:color w:val="FFFFFF"/>
                <w:sz w:val="20"/>
                <w:szCs w:val="20"/>
              </w:rPr>
            </w:pPr>
            <w:r w:rsidRPr="004B465C">
              <w:rPr>
                <w:rFonts w:asciiTheme="minorHAnsi" w:eastAsia="华文细黑" w:hAnsiTheme="minorHAnsi" w:cs="Arial" w:hint="eastAsia"/>
                <w:b/>
                <w:bCs/>
                <w:color w:val="FFFFFF"/>
                <w:sz w:val="20"/>
                <w:szCs w:val="20"/>
              </w:rPr>
              <w:t>合计</w:t>
            </w:r>
          </w:p>
        </w:tc>
      </w:tr>
      <w:tr w:rsidR="004B2513" w:rsidRPr="004B2513" w14:paraId="18CF9C3F" w14:textId="77777777" w:rsidTr="004B465C">
        <w:trPr>
          <w:trHeight w:val="312"/>
          <w:jc w:val="center"/>
        </w:trPr>
        <w:tc>
          <w:tcPr>
            <w:tcW w:w="788" w:type="pct"/>
            <w:tcBorders>
              <w:top w:val="nil"/>
              <w:left w:val="single" w:sz="4" w:space="0" w:color="auto"/>
              <w:bottom w:val="single" w:sz="4" w:space="0" w:color="auto"/>
              <w:right w:val="single" w:sz="4" w:space="0" w:color="auto"/>
            </w:tcBorders>
            <w:shd w:val="clear" w:color="000000" w:fill="D3DFEE"/>
            <w:noWrap/>
            <w:vAlign w:val="center"/>
            <w:hideMark/>
          </w:tcPr>
          <w:p w14:paraId="546F5427" w14:textId="77777777" w:rsidR="004B2513" w:rsidRPr="004B465C" w:rsidRDefault="004B2513" w:rsidP="004B465C">
            <w:pPr>
              <w:rPr>
                <w:rFonts w:asciiTheme="minorHAnsi" w:eastAsia="华文细黑" w:hAnsiTheme="minorHAnsi" w:cs="宋体"/>
                <w:b/>
                <w:bCs/>
                <w:color w:val="000000"/>
                <w:sz w:val="20"/>
                <w:szCs w:val="20"/>
              </w:rPr>
            </w:pPr>
            <w:r w:rsidRPr="004B465C">
              <w:rPr>
                <w:rFonts w:asciiTheme="minorHAnsi" w:eastAsia="华文细黑" w:hAnsiTheme="minorHAnsi" w:cs="宋体" w:hint="eastAsia"/>
                <w:b/>
                <w:bCs/>
                <w:color w:val="000000"/>
                <w:sz w:val="20"/>
                <w:szCs w:val="20"/>
              </w:rPr>
              <w:t>现金流入</w:t>
            </w:r>
          </w:p>
        </w:tc>
        <w:tc>
          <w:tcPr>
            <w:tcW w:w="446" w:type="pct"/>
            <w:tcBorders>
              <w:top w:val="nil"/>
              <w:left w:val="nil"/>
              <w:bottom w:val="single" w:sz="4" w:space="0" w:color="auto"/>
              <w:right w:val="single" w:sz="4" w:space="0" w:color="auto"/>
            </w:tcBorders>
            <w:shd w:val="clear" w:color="000000" w:fill="D3DFEE"/>
            <w:noWrap/>
            <w:vAlign w:val="center"/>
            <w:hideMark/>
          </w:tcPr>
          <w:p w14:paraId="4DFC467E" w14:textId="258E9F1C" w:rsidR="004B2513" w:rsidRPr="004B465C" w:rsidRDefault="004B2513" w:rsidP="004B465C">
            <w:pPr>
              <w:jc w:val="right"/>
              <w:rPr>
                <w:rFonts w:asciiTheme="minorHAnsi" w:eastAsia="华文细黑" w:hAnsiTheme="minorHAnsi" w:cs="Arial"/>
                <w:b/>
                <w:bCs/>
                <w:color w:val="000000"/>
                <w:sz w:val="20"/>
                <w:szCs w:val="20"/>
              </w:rPr>
            </w:pPr>
          </w:p>
        </w:tc>
        <w:tc>
          <w:tcPr>
            <w:tcW w:w="446" w:type="pct"/>
            <w:tcBorders>
              <w:top w:val="nil"/>
              <w:left w:val="nil"/>
              <w:bottom w:val="single" w:sz="4" w:space="0" w:color="auto"/>
              <w:right w:val="single" w:sz="4" w:space="0" w:color="auto"/>
            </w:tcBorders>
            <w:shd w:val="clear" w:color="000000" w:fill="D3DFEE"/>
            <w:noWrap/>
            <w:vAlign w:val="center"/>
            <w:hideMark/>
          </w:tcPr>
          <w:p w14:paraId="62291FF2" w14:textId="6B7AC8A4" w:rsidR="004B2513" w:rsidRPr="004B465C" w:rsidRDefault="004B2513" w:rsidP="004B465C">
            <w:pPr>
              <w:jc w:val="right"/>
              <w:rPr>
                <w:rFonts w:asciiTheme="minorHAnsi" w:eastAsia="华文细黑" w:hAnsiTheme="minorHAnsi" w:cs="Arial"/>
                <w:b/>
                <w:bCs/>
                <w:color w:val="000000"/>
                <w:sz w:val="20"/>
                <w:szCs w:val="20"/>
              </w:rPr>
            </w:pPr>
          </w:p>
        </w:tc>
        <w:tc>
          <w:tcPr>
            <w:tcW w:w="446" w:type="pct"/>
            <w:tcBorders>
              <w:top w:val="nil"/>
              <w:left w:val="nil"/>
              <w:bottom w:val="single" w:sz="4" w:space="0" w:color="auto"/>
              <w:right w:val="single" w:sz="4" w:space="0" w:color="auto"/>
            </w:tcBorders>
            <w:shd w:val="clear" w:color="000000" w:fill="D3DFEE"/>
            <w:noWrap/>
            <w:vAlign w:val="center"/>
            <w:hideMark/>
          </w:tcPr>
          <w:p w14:paraId="5EBB6E63" w14:textId="607022C1" w:rsidR="004B2513" w:rsidRPr="004B465C" w:rsidRDefault="004B2513" w:rsidP="004B465C">
            <w:pPr>
              <w:jc w:val="right"/>
              <w:rPr>
                <w:rFonts w:asciiTheme="minorHAnsi" w:eastAsia="华文细黑" w:hAnsiTheme="minorHAnsi" w:cs="Arial"/>
                <w:b/>
                <w:bCs/>
                <w:color w:val="000000"/>
                <w:sz w:val="20"/>
                <w:szCs w:val="20"/>
              </w:rPr>
            </w:pPr>
          </w:p>
        </w:tc>
        <w:tc>
          <w:tcPr>
            <w:tcW w:w="446" w:type="pct"/>
            <w:tcBorders>
              <w:top w:val="nil"/>
              <w:left w:val="nil"/>
              <w:bottom w:val="single" w:sz="4" w:space="0" w:color="auto"/>
              <w:right w:val="single" w:sz="4" w:space="0" w:color="auto"/>
            </w:tcBorders>
            <w:shd w:val="clear" w:color="000000" w:fill="D3DFEE"/>
            <w:noWrap/>
            <w:vAlign w:val="center"/>
            <w:hideMark/>
          </w:tcPr>
          <w:p w14:paraId="5786C63F" w14:textId="48F22499" w:rsidR="004B2513" w:rsidRPr="004B465C" w:rsidRDefault="004B2513" w:rsidP="004B465C">
            <w:pPr>
              <w:jc w:val="right"/>
              <w:rPr>
                <w:rFonts w:asciiTheme="minorHAnsi" w:eastAsia="华文细黑" w:hAnsiTheme="minorHAnsi" w:cs="Arial"/>
                <w:b/>
                <w:bCs/>
                <w:color w:val="000000"/>
                <w:sz w:val="20"/>
                <w:szCs w:val="20"/>
              </w:rPr>
            </w:pPr>
          </w:p>
        </w:tc>
        <w:tc>
          <w:tcPr>
            <w:tcW w:w="446" w:type="pct"/>
            <w:tcBorders>
              <w:top w:val="nil"/>
              <w:left w:val="nil"/>
              <w:bottom w:val="single" w:sz="4" w:space="0" w:color="auto"/>
              <w:right w:val="single" w:sz="4" w:space="0" w:color="auto"/>
            </w:tcBorders>
            <w:shd w:val="clear" w:color="000000" w:fill="D3DFEE"/>
            <w:noWrap/>
            <w:vAlign w:val="center"/>
            <w:hideMark/>
          </w:tcPr>
          <w:p w14:paraId="68704982" w14:textId="0C72DD4C" w:rsidR="004B2513" w:rsidRPr="004B465C" w:rsidRDefault="004B2513" w:rsidP="004B465C">
            <w:pPr>
              <w:jc w:val="right"/>
              <w:rPr>
                <w:rFonts w:asciiTheme="minorHAnsi" w:eastAsia="华文细黑" w:hAnsiTheme="minorHAnsi" w:cs="Arial"/>
                <w:b/>
                <w:bCs/>
                <w:color w:val="000000"/>
                <w:sz w:val="20"/>
                <w:szCs w:val="20"/>
              </w:rPr>
            </w:pPr>
          </w:p>
        </w:tc>
        <w:tc>
          <w:tcPr>
            <w:tcW w:w="477" w:type="pct"/>
            <w:tcBorders>
              <w:top w:val="nil"/>
              <w:left w:val="nil"/>
              <w:bottom w:val="single" w:sz="4" w:space="0" w:color="auto"/>
              <w:right w:val="single" w:sz="4" w:space="0" w:color="auto"/>
            </w:tcBorders>
            <w:shd w:val="clear" w:color="000000" w:fill="D3DFEE"/>
            <w:noWrap/>
            <w:vAlign w:val="center"/>
            <w:hideMark/>
          </w:tcPr>
          <w:p w14:paraId="36C0EC46" w14:textId="2DA06CAD" w:rsidR="004B2513" w:rsidRPr="004B465C" w:rsidRDefault="004B2513" w:rsidP="004B465C">
            <w:pPr>
              <w:jc w:val="right"/>
              <w:rPr>
                <w:rFonts w:asciiTheme="minorHAnsi" w:eastAsia="华文细黑" w:hAnsiTheme="minorHAnsi" w:cs="Arial"/>
                <w:b/>
                <w:bCs/>
                <w:color w:val="000000"/>
                <w:sz w:val="20"/>
                <w:szCs w:val="20"/>
              </w:rPr>
            </w:pPr>
          </w:p>
        </w:tc>
        <w:tc>
          <w:tcPr>
            <w:tcW w:w="446" w:type="pct"/>
            <w:tcBorders>
              <w:top w:val="nil"/>
              <w:left w:val="nil"/>
              <w:bottom w:val="single" w:sz="4" w:space="0" w:color="auto"/>
              <w:right w:val="single" w:sz="4" w:space="0" w:color="auto"/>
            </w:tcBorders>
            <w:shd w:val="clear" w:color="000000" w:fill="D3DFEE"/>
            <w:noWrap/>
            <w:vAlign w:val="center"/>
            <w:hideMark/>
          </w:tcPr>
          <w:p w14:paraId="2235106C" w14:textId="7E75E7EF" w:rsidR="004B2513" w:rsidRPr="004B465C" w:rsidRDefault="004B2513" w:rsidP="004B465C">
            <w:pPr>
              <w:jc w:val="right"/>
              <w:rPr>
                <w:rFonts w:asciiTheme="minorHAnsi" w:eastAsia="华文细黑" w:hAnsiTheme="minorHAnsi" w:cs="Arial"/>
                <w:b/>
                <w:bCs/>
                <w:color w:val="000000"/>
                <w:sz w:val="20"/>
                <w:szCs w:val="20"/>
              </w:rPr>
            </w:pPr>
          </w:p>
        </w:tc>
        <w:tc>
          <w:tcPr>
            <w:tcW w:w="446" w:type="pct"/>
            <w:tcBorders>
              <w:top w:val="nil"/>
              <w:left w:val="nil"/>
              <w:bottom w:val="single" w:sz="4" w:space="0" w:color="auto"/>
              <w:right w:val="single" w:sz="4" w:space="0" w:color="auto"/>
            </w:tcBorders>
            <w:shd w:val="clear" w:color="000000" w:fill="D3DFEE"/>
            <w:noWrap/>
            <w:vAlign w:val="center"/>
            <w:hideMark/>
          </w:tcPr>
          <w:p w14:paraId="68C3D4A7" w14:textId="0C4FB9C8" w:rsidR="004B2513" w:rsidRPr="004B465C" w:rsidRDefault="004B2513" w:rsidP="004B465C">
            <w:pPr>
              <w:jc w:val="right"/>
              <w:rPr>
                <w:rFonts w:asciiTheme="minorHAnsi" w:eastAsia="华文细黑" w:hAnsiTheme="minorHAnsi" w:cs="Arial"/>
                <w:b/>
                <w:bCs/>
                <w:color w:val="000000"/>
                <w:sz w:val="20"/>
                <w:szCs w:val="20"/>
              </w:rPr>
            </w:pPr>
          </w:p>
        </w:tc>
        <w:tc>
          <w:tcPr>
            <w:tcW w:w="612" w:type="pct"/>
            <w:tcBorders>
              <w:top w:val="nil"/>
              <w:left w:val="nil"/>
              <w:bottom w:val="single" w:sz="4" w:space="0" w:color="auto"/>
              <w:right w:val="single" w:sz="4" w:space="0" w:color="auto"/>
            </w:tcBorders>
            <w:shd w:val="clear" w:color="000000" w:fill="D3DFEE"/>
            <w:noWrap/>
            <w:vAlign w:val="center"/>
            <w:hideMark/>
          </w:tcPr>
          <w:p w14:paraId="3BC1E734" w14:textId="6996EE2B" w:rsidR="004B2513" w:rsidRPr="004B465C" w:rsidRDefault="004B2513" w:rsidP="004B465C">
            <w:pPr>
              <w:jc w:val="right"/>
              <w:rPr>
                <w:rFonts w:asciiTheme="minorHAnsi" w:eastAsia="华文细黑" w:hAnsiTheme="minorHAnsi" w:cs="Arial"/>
                <w:b/>
                <w:bCs/>
                <w:color w:val="000000"/>
                <w:sz w:val="20"/>
                <w:szCs w:val="20"/>
              </w:rPr>
            </w:pPr>
          </w:p>
        </w:tc>
      </w:tr>
      <w:tr w:rsidR="004B2513" w:rsidRPr="004B2513" w14:paraId="0AB9965E" w14:textId="77777777" w:rsidTr="004B465C">
        <w:trPr>
          <w:trHeight w:val="312"/>
          <w:jc w:val="center"/>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14:paraId="6FA9D501" w14:textId="580519D6" w:rsidR="004B2513" w:rsidRPr="004B465C" w:rsidRDefault="004B2513" w:rsidP="004B2513">
            <w:pPr>
              <w:rPr>
                <w:rFonts w:asciiTheme="minorHAnsi" w:eastAsia="华文细黑" w:hAnsiTheme="minorHAnsi" w:cs="宋体"/>
                <w:color w:val="000000"/>
                <w:sz w:val="20"/>
                <w:szCs w:val="20"/>
              </w:rPr>
            </w:pPr>
            <w:r>
              <w:rPr>
                <w:rFonts w:asciiTheme="minorHAnsi" w:eastAsia="华文细黑" w:hAnsiTheme="minorHAnsi" w:cs="宋体" w:hint="eastAsia"/>
                <w:color w:val="000000"/>
                <w:sz w:val="20"/>
                <w:szCs w:val="20"/>
              </w:rPr>
              <w:t>自筹资金</w:t>
            </w:r>
            <w:r w:rsidRPr="004B465C">
              <w:rPr>
                <w:rFonts w:asciiTheme="minorHAnsi" w:eastAsia="华文细黑" w:hAnsiTheme="minorHAnsi" w:cs="宋体" w:hint="eastAsia"/>
                <w:color w:val="000000"/>
                <w:sz w:val="20"/>
                <w:szCs w:val="20"/>
              </w:rPr>
              <w:t>流入</w:t>
            </w:r>
          </w:p>
        </w:tc>
        <w:tc>
          <w:tcPr>
            <w:tcW w:w="446" w:type="pct"/>
            <w:tcBorders>
              <w:top w:val="nil"/>
              <w:left w:val="nil"/>
              <w:bottom w:val="single" w:sz="4" w:space="0" w:color="auto"/>
              <w:right w:val="single" w:sz="4" w:space="0" w:color="auto"/>
            </w:tcBorders>
            <w:shd w:val="clear" w:color="auto" w:fill="auto"/>
            <w:noWrap/>
            <w:vAlign w:val="center"/>
            <w:hideMark/>
          </w:tcPr>
          <w:p w14:paraId="615D8970" w14:textId="2AE6B48C" w:rsidR="004B2513" w:rsidRPr="004B465C" w:rsidRDefault="004B2513" w:rsidP="004B465C">
            <w:pPr>
              <w:jc w:val="right"/>
              <w:rPr>
                <w:rFonts w:asciiTheme="minorHAnsi" w:eastAsia="华文细黑" w:hAnsiTheme="minorHAnsi" w:cs="Arial"/>
                <w:color w:val="000000"/>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5C6E741D" w14:textId="6FA92BA9" w:rsidR="004B2513" w:rsidRPr="004B465C" w:rsidRDefault="004B2513" w:rsidP="004B465C">
            <w:pPr>
              <w:jc w:val="right"/>
              <w:rPr>
                <w:rFonts w:asciiTheme="minorHAnsi" w:eastAsia="华文细黑" w:hAnsiTheme="minorHAnsi" w:cs="Arial"/>
                <w:color w:val="000000"/>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146961FE" w14:textId="47FCD334" w:rsidR="004B2513" w:rsidRPr="004B465C" w:rsidRDefault="004B2513" w:rsidP="004B465C">
            <w:pPr>
              <w:jc w:val="right"/>
              <w:rPr>
                <w:rFonts w:asciiTheme="minorHAnsi" w:eastAsia="华文细黑" w:hAnsiTheme="minorHAnsi" w:cs="Arial"/>
                <w:color w:val="000000"/>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29E0FE81" w14:textId="493F3F71" w:rsidR="004B2513" w:rsidRPr="004B465C" w:rsidRDefault="004B2513" w:rsidP="004B465C">
            <w:pPr>
              <w:jc w:val="right"/>
              <w:rPr>
                <w:rFonts w:asciiTheme="minorHAnsi" w:eastAsia="华文细黑" w:hAnsiTheme="minorHAnsi" w:cs="Arial"/>
                <w:color w:val="000000"/>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37905B4D" w14:textId="1A71ABD1" w:rsidR="004B2513" w:rsidRPr="004B465C" w:rsidRDefault="004B2513" w:rsidP="004B465C">
            <w:pPr>
              <w:jc w:val="right"/>
              <w:rPr>
                <w:rFonts w:asciiTheme="minorHAnsi" w:eastAsia="华文细黑" w:hAnsiTheme="minorHAnsi" w:cs="Arial"/>
                <w:color w:val="000000"/>
                <w:sz w:val="20"/>
                <w:szCs w:val="20"/>
              </w:rPr>
            </w:pPr>
          </w:p>
        </w:tc>
        <w:tc>
          <w:tcPr>
            <w:tcW w:w="477" w:type="pct"/>
            <w:tcBorders>
              <w:top w:val="nil"/>
              <w:left w:val="nil"/>
              <w:bottom w:val="single" w:sz="4" w:space="0" w:color="auto"/>
              <w:right w:val="single" w:sz="4" w:space="0" w:color="auto"/>
            </w:tcBorders>
            <w:shd w:val="clear" w:color="auto" w:fill="auto"/>
            <w:noWrap/>
            <w:vAlign w:val="center"/>
            <w:hideMark/>
          </w:tcPr>
          <w:p w14:paraId="380B7AE8" w14:textId="15D93BA2" w:rsidR="004B2513" w:rsidRPr="004B465C" w:rsidRDefault="004B2513" w:rsidP="004B465C">
            <w:pPr>
              <w:jc w:val="right"/>
              <w:rPr>
                <w:rFonts w:asciiTheme="minorHAnsi" w:eastAsia="华文细黑" w:hAnsiTheme="minorHAnsi" w:cs="Arial"/>
                <w:color w:val="000000"/>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2B76D945" w14:textId="49D16D00" w:rsidR="004B2513" w:rsidRPr="004B465C" w:rsidRDefault="004B2513" w:rsidP="004B465C">
            <w:pPr>
              <w:jc w:val="right"/>
              <w:rPr>
                <w:rFonts w:asciiTheme="minorHAnsi" w:eastAsia="华文细黑" w:hAnsiTheme="minorHAnsi" w:cs="Arial"/>
                <w:color w:val="000000"/>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0979EE62" w14:textId="024F66DB" w:rsidR="004B2513" w:rsidRPr="004B465C" w:rsidRDefault="004B2513" w:rsidP="004B465C">
            <w:pPr>
              <w:jc w:val="right"/>
              <w:rPr>
                <w:rFonts w:asciiTheme="minorHAnsi" w:eastAsia="华文细黑" w:hAnsiTheme="minorHAnsi" w:cs="Arial"/>
                <w:color w:val="000000"/>
                <w:sz w:val="20"/>
                <w:szCs w:val="20"/>
              </w:rPr>
            </w:pPr>
          </w:p>
        </w:tc>
        <w:tc>
          <w:tcPr>
            <w:tcW w:w="612" w:type="pct"/>
            <w:tcBorders>
              <w:top w:val="nil"/>
              <w:left w:val="nil"/>
              <w:bottom w:val="single" w:sz="4" w:space="0" w:color="auto"/>
              <w:right w:val="single" w:sz="4" w:space="0" w:color="auto"/>
            </w:tcBorders>
            <w:shd w:val="clear" w:color="auto" w:fill="auto"/>
            <w:noWrap/>
            <w:vAlign w:val="center"/>
            <w:hideMark/>
          </w:tcPr>
          <w:p w14:paraId="25BACF90" w14:textId="4365442E"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54,403.74</w:t>
            </w:r>
          </w:p>
        </w:tc>
      </w:tr>
      <w:tr w:rsidR="004B2513" w:rsidRPr="004B2513" w14:paraId="13AED561" w14:textId="77777777" w:rsidTr="004B465C">
        <w:trPr>
          <w:trHeight w:val="312"/>
          <w:jc w:val="center"/>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14:paraId="0CCA3977" w14:textId="47B16E7C" w:rsidR="004B2513" w:rsidRPr="004B465C" w:rsidRDefault="004B2513" w:rsidP="004B2513">
            <w:pPr>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债券资金流入</w:t>
            </w:r>
          </w:p>
        </w:tc>
        <w:tc>
          <w:tcPr>
            <w:tcW w:w="446" w:type="pct"/>
            <w:tcBorders>
              <w:top w:val="nil"/>
              <w:left w:val="nil"/>
              <w:bottom w:val="single" w:sz="4" w:space="0" w:color="auto"/>
              <w:right w:val="single" w:sz="4" w:space="0" w:color="auto"/>
            </w:tcBorders>
            <w:shd w:val="clear" w:color="auto" w:fill="auto"/>
            <w:noWrap/>
            <w:vAlign w:val="center"/>
            <w:hideMark/>
          </w:tcPr>
          <w:p w14:paraId="450B4F3D" w14:textId="7CE85573" w:rsidR="004B2513" w:rsidRPr="004B465C" w:rsidRDefault="004B2513" w:rsidP="004B465C">
            <w:pPr>
              <w:jc w:val="right"/>
              <w:rPr>
                <w:rFonts w:asciiTheme="minorHAnsi" w:eastAsia="华文细黑" w:hAnsiTheme="minorHAnsi" w:cs="Arial"/>
                <w:color w:val="000000"/>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5DEBBC29" w14:textId="782304C6" w:rsidR="004B2513" w:rsidRPr="004B465C" w:rsidRDefault="004B2513" w:rsidP="004B465C">
            <w:pPr>
              <w:jc w:val="right"/>
              <w:rPr>
                <w:rFonts w:asciiTheme="minorHAnsi" w:eastAsia="华文细黑" w:hAnsiTheme="minorHAnsi" w:cs="Arial"/>
                <w:color w:val="000000"/>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379E6B67" w14:textId="727B24A0" w:rsidR="004B2513" w:rsidRPr="004B465C" w:rsidRDefault="004B2513" w:rsidP="004B465C">
            <w:pPr>
              <w:jc w:val="right"/>
              <w:rPr>
                <w:rFonts w:asciiTheme="minorHAnsi" w:eastAsia="华文细黑" w:hAnsiTheme="minorHAnsi" w:cs="Arial"/>
                <w:color w:val="000000"/>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538B2795" w14:textId="79390256" w:rsidR="004B2513" w:rsidRPr="004B465C" w:rsidRDefault="004B2513" w:rsidP="004B465C">
            <w:pPr>
              <w:jc w:val="right"/>
              <w:rPr>
                <w:rFonts w:asciiTheme="minorHAnsi" w:eastAsia="华文细黑" w:hAnsiTheme="minorHAnsi" w:cs="Arial"/>
                <w:color w:val="000000"/>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1C7A5ED1" w14:textId="1B1B92F5" w:rsidR="004B2513" w:rsidRPr="004B465C" w:rsidRDefault="004B2513" w:rsidP="004B465C">
            <w:pPr>
              <w:jc w:val="right"/>
              <w:rPr>
                <w:rFonts w:asciiTheme="minorHAnsi" w:eastAsia="华文细黑" w:hAnsiTheme="minorHAnsi" w:cs="Arial"/>
                <w:color w:val="000000"/>
                <w:sz w:val="20"/>
                <w:szCs w:val="20"/>
              </w:rPr>
            </w:pPr>
          </w:p>
        </w:tc>
        <w:tc>
          <w:tcPr>
            <w:tcW w:w="477" w:type="pct"/>
            <w:tcBorders>
              <w:top w:val="nil"/>
              <w:left w:val="nil"/>
              <w:bottom w:val="single" w:sz="4" w:space="0" w:color="auto"/>
              <w:right w:val="single" w:sz="4" w:space="0" w:color="auto"/>
            </w:tcBorders>
            <w:shd w:val="clear" w:color="auto" w:fill="auto"/>
            <w:noWrap/>
            <w:vAlign w:val="center"/>
            <w:hideMark/>
          </w:tcPr>
          <w:p w14:paraId="1D9429AE" w14:textId="0BE18245" w:rsidR="004B2513" w:rsidRPr="004B465C" w:rsidRDefault="004B2513" w:rsidP="004B465C">
            <w:pPr>
              <w:jc w:val="right"/>
              <w:rPr>
                <w:rFonts w:asciiTheme="minorHAnsi" w:eastAsia="华文细黑" w:hAnsiTheme="minorHAnsi" w:cs="Arial"/>
                <w:color w:val="000000"/>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580FC310" w14:textId="654F4C8F" w:rsidR="004B2513" w:rsidRPr="004B465C" w:rsidRDefault="004B2513" w:rsidP="004B465C">
            <w:pPr>
              <w:jc w:val="right"/>
              <w:rPr>
                <w:rFonts w:asciiTheme="minorHAnsi" w:eastAsia="华文细黑" w:hAnsiTheme="minorHAnsi" w:cs="Arial"/>
                <w:color w:val="000000"/>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6FBB2842" w14:textId="2E38EC55" w:rsidR="004B2513" w:rsidRPr="004B465C" w:rsidRDefault="004B2513" w:rsidP="004B465C">
            <w:pPr>
              <w:jc w:val="right"/>
              <w:rPr>
                <w:rFonts w:asciiTheme="minorHAnsi" w:eastAsia="华文细黑" w:hAnsiTheme="minorHAnsi" w:cs="Arial"/>
                <w:color w:val="000000"/>
                <w:sz w:val="20"/>
                <w:szCs w:val="20"/>
              </w:rPr>
            </w:pPr>
          </w:p>
        </w:tc>
        <w:tc>
          <w:tcPr>
            <w:tcW w:w="612" w:type="pct"/>
            <w:tcBorders>
              <w:top w:val="nil"/>
              <w:left w:val="nil"/>
              <w:bottom w:val="single" w:sz="4" w:space="0" w:color="auto"/>
              <w:right w:val="single" w:sz="4" w:space="0" w:color="auto"/>
            </w:tcBorders>
            <w:shd w:val="clear" w:color="auto" w:fill="auto"/>
            <w:noWrap/>
            <w:vAlign w:val="center"/>
            <w:hideMark/>
          </w:tcPr>
          <w:p w14:paraId="7A0457F2" w14:textId="21BCB003"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68,540.00</w:t>
            </w:r>
          </w:p>
        </w:tc>
      </w:tr>
      <w:tr w:rsidR="004B2513" w:rsidRPr="004B2513" w14:paraId="55C62D42" w14:textId="77777777" w:rsidTr="004B465C">
        <w:trPr>
          <w:trHeight w:val="312"/>
          <w:jc w:val="center"/>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14:paraId="353CA475" w14:textId="024C74AE" w:rsidR="004B2513" w:rsidRPr="004B465C" w:rsidRDefault="004B2513" w:rsidP="004B2513">
            <w:pPr>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运营期现金流入</w:t>
            </w:r>
          </w:p>
        </w:tc>
        <w:tc>
          <w:tcPr>
            <w:tcW w:w="446" w:type="pct"/>
            <w:tcBorders>
              <w:top w:val="nil"/>
              <w:left w:val="nil"/>
              <w:bottom w:val="single" w:sz="4" w:space="0" w:color="auto"/>
              <w:right w:val="single" w:sz="4" w:space="0" w:color="auto"/>
            </w:tcBorders>
            <w:shd w:val="clear" w:color="auto" w:fill="auto"/>
            <w:noWrap/>
            <w:vAlign w:val="center"/>
            <w:hideMark/>
          </w:tcPr>
          <w:p w14:paraId="727DFB83" w14:textId="07A4F896" w:rsidR="004B2513" w:rsidRPr="004B465C" w:rsidRDefault="004B2513" w:rsidP="004B465C">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8,824.91</w:t>
            </w:r>
          </w:p>
        </w:tc>
        <w:tc>
          <w:tcPr>
            <w:tcW w:w="446" w:type="pct"/>
            <w:tcBorders>
              <w:top w:val="nil"/>
              <w:left w:val="nil"/>
              <w:bottom w:val="single" w:sz="4" w:space="0" w:color="auto"/>
              <w:right w:val="single" w:sz="4" w:space="0" w:color="auto"/>
            </w:tcBorders>
            <w:shd w:val="clear" w:color="auto" w:fill="auto"/>
            <w:noWrap/>
            <w:vAlign w:val="center"/>
            <w:hideMark/>
          </w:tcPr>
          <w:p w14:paraId="6626B6B7" w14:textId="040F43B7" w:rsidR="004B2513" w:rsidRPr="004B465C" w:rsidRDefault="004B2513" w:rsidP="004B465C">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8,824.91</w:t>
            </w:r>
          </w:p>
        </w:tc>
        <w:tc>
          <w:tcPr>
            <w:tcW w:w="446" w:type="pct"/>
            <w:tcBorders>
              <w:top w:val="nil"/>
              <w:left w:val="nil"/>
              <w:bottom w:val="single" w:sz="4" w:space="0" w:color="auto"/>
              <w:right w:val="single" w:sz="4" w:space="0" w:color="auto"/>
            </w:tcBorders>
            <w:shd w:val="clear" w:color="auto" w:fill="auto"/>
            <w:noWrap/>
            <w:vAlign w:val="center"/>
            <w:hideMark/>
          </w:tcPr>
          <w:p w14:paraId="763C7A7F" w14:textId="618347A3" w:rsidR="004B2513" w:rsidRPr="004B465C" w:rsidRDefault="004B2513" w:rsidP="004B465C">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8,824.91</w:t>
            </w:r>
          </w:p>
        </w:tc>
        <w:tc>
          <w:tcPr>
            <w:tcW w:w="446" w:type="pct"/>
            <w:tcBorders>
              <w:top w:val="nil"/>
              <w:left w:val="nil"/>
              <w:bottom w:val="single" w:sz="4" w:space="0" w:color="auto"/>
              <w:right w:val="single" w:sz="4" w:space="0" w:color="auto"/>
            </w:tcBorders>
            <w:shd w:val="clear" w:color="auto" w:fill="auto"/>
            <w:noWrap/>
            <w:vAlign w:val="center"/>
            <w:hideMark/>
          </w:tcPr>
          <w:p w14:paraId="0934492F" w14:textId="75D2270C" w:rsidR="004B2513" w:rsidRPr="004B465C" w:rsidRDefault="004B2513" w:rsidP="004B465C">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8,824.91</w:t>
            </w:r>
          </w:p>
        </w:tc>
        <w:tc>
          <w:tcPr>
            <w:tcW w:w="446" w:type="pct"/>
            <w:tcBorders>
              <w:top w:val="nil"/>
              <w:left w:val="nil"/>
              <w:bottom w:val="single" w:sz="4" w:space="0" w:color="auto"/>
              <w:right w:val="single" w:sz="4" w:space="0" w:color="auto"/>
            </w:tcBorders>
            <w:shd w:val="clear" w:color="auto" w:fill="auto"/>
            <w:noWrap/>
            <w:vAlign w:val="center"/>
            <w:hideMark/>
          </w:tcPr>
          <w:p w14:paraId="35E84B0B" w14:textId="614BBB71" w:rsidR="004B2513" w:rsidRPr="004B465C" w:rsidRDefault="004B2513" w:rsidP="004B465C">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8,824.91</w:t>
            </w:r>
          </w:p>
        </w:tc>
        <w:tc>
          <w:tcPr>
            <w:tcW w:w="477" w:type="pct"/>
            <w:tcBorders>
              <w:top w:val="nil"/>
              <w:left w:val="nil"/>
              <w:bottom w:val="single" w:sz="4" w:space="0" w:color="auto"/>
              <w:right w:val="single" w:sz="4" w:space="0" w:color="auto"/>
            </w:tcBorders>
            <w:shd w:val="clear" w:color="auto" w:fill="auto"/>
            <w:noWrap/>
            <w:vAlign w:val="center"/>
            <w:hideMark/>
          </w:tcPr>
          <w:p w14:paraId="2B93BCF7" w14:textId="33B111F1" w:rsidR="004B2513" w:rsidRPr="004B465C" w:rsidRDefault="004B2513" w:rsidP="004B465C">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8,824.91</w:t>
            </w:r>
          </w:p>
        </w:tc>
        <w:tc>
          <w:tcPr>
            <w:tcW w:w="446" w:type="pct"/>
            <w:tcBorders>
              <w:top w:val="nil"/>
              <w:left w:val="nil"/>
              <w:bottom w:val="single" w:sz="4" w:space="0" w:color="auto"/>
              <w:right w:val="single" w:sz="4" w:space="0" w:color="auto"/>
            </w:tcBorders>
            <w:shd w:val="clear" w:color="auto" w:fill="auto"/>
            <w:noWrap/>
            <w:vAlign w:val="center"/>
            <w:hideMark/>
          </w:tcPr>
          <w:p w14:paraId="5DC50CA5" w14:textId="3B826BC6" w:rsidR="004B2513" w:rsidRPr="004B465C" w:rsidRDefault="004B2513" w:rsidP="004B465C">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8,824.91</w:t>
            </w:r>
          </w:p>
        </w:tc>
        <w:tc>
          <w:tcPr>
            <w:tcW w:w="446" w:type="pct"/>
            <w:tcBorders>
              <w:top w:val="nil"/>
              <w:left w:val="nil"/>
              <w:bottom w:val="single" w:sz="4" w:space="0" w:color="auto"/>
              <w:right w:val="single" w:sz="4" w:space="0" w:color="auto"/>
            </w:tcBorders>
            <w:shd w:val="clear" w:color="auto" w:fill="auto"/>
            <w:noWrap/>
            <w:vAlign w:val="center"/>
            <w:hideMark/>
          </w:tcPr>
          <w:p w14:paraId="6B8309A1" w14:textId="1EF0E010" w:rsidR="004B2513" w:rsidRPr="004B465C" w:rsidRDefault="004B2513" w:rsidP="004B465C">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8,824.91</w:t>
            </w:r>
          </w:p>
        </w:tc>
        <w:tc>
          <w:tcPr>
            <w:tcW w:w="612" w:type="pct"/>
            <w:tcBorders>
              <w:top w:val="nil"/>
              <w:left w:val="nil"/>
              <w:bottom w:val="single" w:sz="4" w:space="0" w:color="auto"/>
              <w:right w:val="single" w:sz="4" w:space="0" w:color="auto"/>
            </w:tcBorders>
            <w:shd w:val="clear" w:color="auto" w:fill="auto"/>
            <w:noWrap/>
            <w:vAlign w:val="center"/>
            <w:hideMark/>
          </w:tcPr>
          <w:p w14:paraId="1D1550B7" w14:textId="6F6AAACD"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132,373.65</w:t>
            </w:r>
          </w:p>
        </w:tc>
      </w:tr>
      <w:tr w:rsidR="004B2513" w:rsidRPr="004B2513" w14:paraId="25821FB7" w14:textId="77777777" w:rsidTr="004B465C">
        <w:trPr>
          <w:trHeight w:val="312"/>
          <w:jc w:val="center"/>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14:paraId="2EC32055" w14:textId="0438D79A" w:rsidR="004B2513" w:rsidRPr="004B465C" w:rsidRDefault="004B2513" w:rsidP="004B2513">
            <w:pPr>
              <w:rPr>
                <w:rFonts w:asciiTheme="minorHAnsi" w:eastAsia="华文细黑" w:hAnsiTheme="minorHAnsi" w:cs="宋体"/>
                <w:b/>
                <w:bCs/>
                <w:color w:val="000000"/>
                <w:sz w:val="20"/>
                <w:szCs w:val="20"/>
              </w:rPr>
            </w:pPr>
            <w:r w:rsidRPr="004B465C">
              <w:rPr>
                <w:rFonts w:asciiTheme="minorHAnsi" w:eastAsia="华文细黑" w:hAnsiTheme="minorHAnsi" w:cs="宋体" w:hint="eastAsia"/>
                <w:b/>
                <w:bCs/>
                <w:color w:val="000000"/>
                <w:sz w:val="20"/>
                <w:szCs w:val="20"/>
              </w:rPr>
              <w:t>现金流入总额</w:t>
            </w:r>
          </w:p>
        </w:tc>
        <w:tc>
          <w:tcPr>
            <w:tcW w:w="446" w:type="pct"/>
            <w:tcBorders>
              <w:top w:val="nil"/>
              <w:left w:val="nil"/>
              <w:bottom w:val="single" w:sz="4" w:space="0" w:color="auto"/>
              <w:right w:val="single" w:sz="4" w:space="0" w:color="auto"/>
            </w:tcBorders>
            <w:shd w:val="clear" w:color="auto" w:fill="auto"/>
            <w:noWrap/>
            <w:vAlign w:val="center"/>
            <w:hideMark/>
          </w:tcPr>
          <w:p w14:paraId="0EBC312D" w14:textId="75334FBA"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8,824.91</w:t>
            </w:r>
          </w:p>
        </w:tc>
        <w:tc>
          <w:tcPr>
            <w:tcW w:w="446" w:type="pct"/>
            <w:tcBorders>
              <w:top w:val="nil"/>
              <w:left w:val="nil"/>
              <w:bottom w:val="single" w:sz="4" w:space="0" w:color="auto"/>
              <w:right w:val="single" w:sz="4" w:space="0" w:color="auto"/>
            </w:tcBorders>
            <w:shd w:val="clear" w:color="auto" w:fill="auto"/>
            <w:noWrap/>
            <w:vAlign w:val="center"/>
            <w:hideMark/>
          </w:tcPr>
          <w:p w14:paraId="64B74C15" w14:textId="5D9A9710"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8,824.91</w:t>
            </w:r>
          </w:p>
        </w:tc>
        <w:tc>
          <w:tcPr>
            <w:tcW w:w="446" w:type="pct"/>
            <w:tcBorders>
              <w:top w:val="nil"/>
              <w:left w:val="nil"/>
              <w:bottom w:val="single" w:sz="4" w:space="0" w:color="auto"/>
              <w:right w:val="single" w:sz="4" w:space="0" w:color="auto"/>
            </w:tcBorders>
            <w:shd w:val="clear" w:color="auto" w:fill="auto"/>
            <w:noWrap/>
            <w:vAlign w:val="center"/>
            <w:hideMark/>
          </w:tcPr>
          <w:p w14:paraId="66EEBF6E" w14:textId="7E43CF0C"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8,824.91</w:t>
            </w:r>
          </w:p>
        </w:tc>
        <w:tc>
          <w:tcPr>
            <w:tcW w:w="446" w:type="pct"/>
            <w:tcBorders>
              <w:top w:val="nil"/>
              <w:left w:val="nil"/>
              <w:bottom w:val="single" w:sz="4" w:space="0" w:color="auto"/>
              <w:right w:val="single" w:sz="4" w:space="0" w:color="auto"/>
            </w:tcBorders>
            <w:shd w:val="clear" w:color="auto" w:fill="auto"/>
            <w:noWrap/>
            <w:vAlign w:val="center"/>
            <w:hideMark/>
          </w:tcPr>
          <w:p w14:paraId="7032DE30" w14:textId="47B553A5"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8,824.91</w:t>
            </w:r>
          </w:p>
        </w:tc>
        <w:tc>
          <w:tcPr>
            <w:tcW w:w="446" w:type="pct"/>
            <w:tcBorders>
              <w:top w:val="nil"/>
              <w:left w:val="nil"/>
              <w:bottom w:val="single" w:sz="4" w:space="0" w:color="auto"/>
              <w:right w:val="single" w:sz="4" w:space="0" w:color="auto"/>
            </w:tcBorders>
            <w:shd w:val="clear" w:color="auto" w:fill="auto"/>
            <w:noWrap/>
            <w:vAlign w:val="center"/>
            <w:hideMark/>
          </w:tcPr>
          <w:p w14:paraId="6A82C19C" w14:textId="25CC6ADF"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8,824.91</w:t>
            </w:r>
          </w:p>
        </w:tc>
        <w:tc>
          <w:tcPr>
            <w:tcW w:w="477" w:type="pct"/>
            <w:tcBorders>
              <w:top w:val="nil"/>
              <w:left w:val="nil"/>
              <w:bottom w:val="single" w:sz="4" w:space="0" w:color="auto"/>
              <w:right w:val="single" w:sz="4" w:space="0" w:color="auto"/>
            </w:tcBorders>
            <w:shd w:val="clear" w:color="auto" w:fill="auto"/>
            <w:noWrap/>
            <w:vAlign w:val="center"/>
            <w:hideMark/>
          </w:tcPr>
          <w:p w14:paraId="354A6659" w14:textId="03E16CE2"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8,824.91</w:t>
            </w:r>
          </w:p>
        </w:tc>
        <w:tc>
          <w:tcPr>
            <w:tcW w:w="446" w:type="pct"/>
            <w:tcBorders>
              <w:top w:val="nil"/>
              <w:left w:val="nil"/>
              <w:bottom w:val="single" w:sz="4" w:space="0" w:color="auto"/>
              <w:right w:val="single" w:sz="4" w:space="0" w:color="auto"/>
            </w:tcBorders>
            <w:shd w:val="clear" w:color="auto" w:fill="auto"/>
            <w:noWrap/>
            <w:vAlign w:val="center"/>
            <w:hideMark/>
          </w:tcPr>
          <w:p w14:paraId="024534A9" w14:textId="72AF0887"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8,824.91</w:t>
            </w:r>
          </w:p>
        </w:tc>
        <w:tc>
          <w:tcPr>
            <w:tcW w:w="446" w:type="pct"/>
            <w:tcBorders>
              <w:top w:val="nil"/>
              <w:left w:val="nil"/>
              <w:bottom w:val="single" w:sz="4" w:space="0" w:color="auto"/>
              <w:right w:val="single" w:sz="4" w:space="0" w:color="auto"/>
            </w:tcBorders>
            <w:shd w:val="clear" w:color="auto" w:fill="auto"/>
            <w:noWrap/>
            <w:vAlign w:val="center"/>
            <w:hideMark/>
          </w:tcPr>
          <w:p w14:paraId="3401E015" w14:textId="1FF84861"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8,824.91</w:t>
            </w:r>
          </w:p>
        </w:tc>
        <w:tc>
          <w:tcPr>
            <w:tcW w:w="612" w:type="pct"/>
            <w:tcBorders>
              <w:top w:val="nil"/>
              <w:left w:val="nil"/>
              <w:bottom w:val="single" w:sz="4" w:space="0" w:color="auto"/>
              <w:right w:val="single" w:sz="4" w:space="0" w:color="auto"/>
            </w:tcBorders>
            <w:shd w:val="clear" w:color="auto" w:fill="auto"/>
            <w:noWrap/>
            <w:vAlign w:val="center"/>
            <w:hideMark/>
          </w:tcPr>
          <w:p w14:paraId="46FE514F" w14:textId="2071D69C"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255,317.39</w:t>
            </w:r>
          </w:p>
        </w:tc>
      </w:tr>
      <w:tr w:rsidR="004B2513" w:rsidRPr="004B2513" w14:paraId="667DAF04" w14:textId="77777777" w:rsidTr="004B465C">
        <w:trPr>
          <w:trHeight w:val="312"/>
          <w:jc w:val="center"/>
        </w:trPr>
        <w:tc>
          <w:tcPr>
            <w:tcW w:w="788" w:type="pct"/>
            <w:tcBorders>
              <w:top w:val="nil"/>
              <w:left w:val="single" w:sz="4" w:space="0" w:color="auto"/>
              <w:bottom w:val="single" w:sz="4" w:space="0" w:color="auto"/>
              <w:right w:val="single" w:sz="4" w:space="0" w:color="auto"/>
            </w:tcBorders>
            <w:shd w:val="clear" w:color="000000" w:fill="D3DFEE"/>
            <w:noWrap/>
            <w:vAlign w:val="center"/>
            <w:hideMark/>
          </w:tcPr>
          <w:p w14:paraId="0C07650F" w14:textId="0122E65E" w:rsidR="004B2513" w:rsidRPr="004B465C" w:rsidRDefault="004B2513" w:rsidP="004B465C">
            <w:pPr>
              <w:rPr>
                <w:rFonts w:asciiTheme="minorHAnsi" w:eastAsia="华文细黑" w:hAnsiTheme="minorHAnsi" w:cs="宋体"/>
                <w:b/>
                <w:bCs/>
                <w:color w:val="000000"/>
                <w:sz w:val="20"/>
                <w:szCs w:val="20"/>
              </w:rPr>
            </w:pPr>
            <w:r w:rsidRPr="004B465C">
              <w:rPr>
                <w:rFonts w:asciiTheme="minorHAnsi" w:eastAsia="华文细黑" w:hAnsiTheme="minorHAnsi" w:cs="宋体" w:hint="eastAsia"/>
                <w:b/>
                <w:bCs/>
                <w:color w:val="000000"/>
                <w:sz w:val="20"/>
                <w:szCs w:val="20"/>
              </w:rPr>
              <w:t>现金流出</w:t>
            </w:r>
          </w:p>
        </w:tc>
        <w:tc>
          <w:tcPr>
            <w:tcW w:w="446" w:type="pct"/>
            <w:tcBorders>
              <w:top w:val="nil"/>
              <w:left w:val="nil"/>
              <w:bottom w:val="single" w:sz="4" w:space="0" w:color="auto"/>
              <w:right w:val="single" w:sz="4" w:space="0" w:color="auto"/>
            </w:tcBorders>
            <w:shd w:val="clear" w:color="000000" w:fill="D3DFEE"/>
            <w:noWrap/>
            <w:vAlign w:val="center"/>
            <w:hideMark/>
          </w:tcPr>
          <w:p w14:paraId="12BC9F0F" w14:textId="32EC5AB3" w:rsidR="004B2513" w:rsidRPr="004B465C" w:rsidRDefault="004B2513" w:rsidP="004B465C">
            <w:pPr>
              <w:jc w:val="right"/>
              <w:rPr>
                <w:rFonts w:asciiTheme="minorHAnsi" w:eastAsia="华文细黑" w:hAnsiTheme="minorHAnsi" w:cs="Arial"/>
                <w:b/>
                <w:bCs/>
                <w:color w:val="000000"/>
                <w:sz w:val="20"/>
                <w:szCs w:val="20"/>
              </w:rPr>
            </w:pPr>
          </w:p>
        </w:tc>
        <w:tc>
          <w:tcPr>
            <w:tcW w:w="446" w:type="pct"/>
            <w:tcBorders>
              <w:top w:val="nil"/>
              <w:left w:val="nil"/>
              <w:bottom w:val="single" w:sz="4" w:space="0" w:color="auto"/>
              <w:right w:val="single" w:sz="4" w:space="0" w:color="auto"/>
            </w:tcBorders>
            <w:shd w:val="clear" w:color="000000" w:fill="D3DFEE"/>
            <w:noWrap/>
            <w:vAlign w:val="center"/>
            <w:hideMark/>
          </w:tcPr>
          <w:p w14:paraId="692EB52C" w14:textId="3060417F" w:rsidR="004B2513" w:rsidRPr="004B465C" w:rsidRDefault="004B2513" w:rsidP="004B465C">
            <w:pPr>
              <w:jc w:val="right"/>
              <w:rPr>
                <w:rFonts w:asciiTheme="minorHAnsi" w:eastAsia="华文细黑" w:hAnsiTheme="minorHAnsi" w:cs="Arial"/>
                <w:b/>
                <w:bCs/>
                <w:color w:val="000000"/>
                <w:sz w:val="20"/>
                <w:szCs w:val="20"/>
              </w:rPr>
            </w:pPr>
          </w:p>
        </w:tc>
        <w:tc>
          <w:tcPr>
            <w:tcW w:w="446" w:type="pct"/>
            <w:tcBorders>
              <w:top w:val="nil"/>
              <w:left w:val="nil"/>
              <w:bottom w:val="single" w:sz="4" w:space="0" w:color="auto"/>
              <w:right w:val="single" w:sz="4" w:space="0" w:color="auto"/>
            </w:tcBorders>
            <w:shd w:val="clear" w:color="000000" w:fill="D3DFEE"/>
            <w:noWrap/>
            <w:vAlign w:val="center"/>
            <w:hideMark/>
          </w:tcPr>
          <w:p w14:paraId="3FE95810" w14:textId="77BD7A84" w:rsidR="004B2513" w:rsidRPr="004B465C" w:rsidRDefault="004B2513" w:rsidP="004B465C">
            <w:pPr>
              <w:jc w:val="right"/>
              <w:rPr>
                <w:rFonts w:asciiTheme="minorHAnsi" w:eastAsia="华文细黑" w:hAnsiTheme="minorHAnsi" w:cs="Arial"/>
                <w:b/>
                <w:bCs/>
                <w:color w:val="000000"/>
                <w:sz w:val="20"/>
                <w:szCs w:val="20"/>
              </w:rPr>
            </w:pPr>
          </w:p>
        </w:tc>
        <w:tc>
          <w:tcPr>
            <w:tcW w:w="446" w:type="pct"/>
            <w:tcBorders>
              <w:top w:val="nil"/>
              <w:left w:val="nil"/>
              <w:bottom w:val="single" w:sz="4" w:space="0" w:color="auto"/>
              <w:right w:val="single" w:sz="4" w:space="0" w:color="auto"/>
            </w:tcBorders>
            <w:shd w:val="clear" w:color="000000" w:fill="D3DFEE"/>
            <w:noWrap/>
            <w:vAlign w:val="center"/>
            <w:hideMark/>
          </w:tcPr>
          <w:p w14:paraId="75E43A0C" w14:textId="3B120630" w:rsidR="004B2513" w:rsidRPr="004B465C" w:rsidRDefault="004B2513" w:rsidP="004B465C">
            <w:pPr>
              <w:jc w:val="right"/>
              <w:rPr>
                <w:rFonts w:asciiTheme="minorHAnsi" w:eastAsia="华文细黑" w:hAnsiTheme="minorHAnsi" w:cs="Arial"/>
                <w:b/>
                <w:bCs/>
                <w:color w:val="000000"/>
                <w:sz w:val="20"/>
                <w:szCs w:val="20"/>
              </w:rPr>
            </w:pPr>
          </w:p>
        </w:tc>
        <w:tc>
          <w:tcPr>
            <w:tcW w:w="446" w:type="pct"/>
            <w:tcBorders>
              <w:top w:val="nil"/>
              <w:left w:val="nil"/>
              <w:bottom w:val="single" w:sz="4" w:space="0" w:color="auto"/>
              <w:right w:val="single" w:sz="4" w:space="0" w:color="auto"/>
            </w:tcBorders>
            <w:shd w:val="clear" w:color="000000" w:fill="D3DFEE"/>
            <w:noWrap/>
            <w:vAlign w:val="center"/>
            <w:hideMark/>
          </w:tcPr>
          <w:p w14:paraId="4F93CF33" w14:textId="3D8434C8" w:rsidR="004B2513" w:rsidRPr="004B465C" w:rsidRDefault="004B2513" w:rsidP="004B465C">
            <w:pPr>
              <w:jc w:val="right"/>
              <w:rPr>
                <w:rFonts w:asciiTheme="minorHAnsi" w:eastAsia="华文细黑" w:hAnsiTheme="minorHAnsi" w:cs="Arial"/>
                <w:b/>
                <w:bCs/>
                <w:color w:val="000000"/>
                <w:sz w:val="20"/>
                <w:szCs w:val="20"/>
              </w:rPr>
            </w:pPr>
          </w:p>
        </w:tc>
        <w:tc>
          <w:tcPr>
            <w:tcW w:w="477" w:type="pct"/>
            <w:tcBorders>
              <w:top w:val="nil"/>
              <w:left w:val="nil"/>
              <w:bottom w:val="single" w:sz="4" w:space="0" w:color="auto"/>
              <w:right w:val="single" w:sz="4" w:space="0" w:color="auto"/>
            </w:tcBorders>
            <w:shd w:val="clear" w:color="000000" w:fill="D3DFEE"/>
            <w:noWrap/>
            <w:vAlign w:val="center"/>
            <w:hideMark/>
          </w:tcPr>
          <w:p w14:paraId="7480C6A5" w14:textId="13E9B23A" w:rsidR="004B2513" w:rsidRPr="004B465C" w:rsidRDefault="004B2513" w:rsidP="004B465C">
            <w:pPr>
              <w:jc w:val="right"/>
              <w:rPr>
                <w:rFonts w:asciiTheme="minorHAnsi" w:eastAsia="华文细黑" w:hAnsiTheme="minorHAnsi" w:cs="Arial"/>
                <w:b/>
                <w:bCs/>
                <w:color w:val="000000"/>
                <w:sz w:val="20"/>
                <w:szCs w:val="20"/>
              </w:rPr>
            </w:pPr>
          </w:p>
        </w:tc>
        <w:tc>
          <w:tcPr>
            <w:tcW w:w="446" w:type="pct"/>
            <w:tcBorders>
              <w:top w:val="nil"/>
              <w:left w:val="nil"/>
              <w:bottom w:val="single" w:sz="4" w:space="0" w:color="auto"/>
              <w:right w:val="single" w:sz="4" w:space="0" w:color="auto"/>
            </w:tcBorders>
            <w:shd w:val="clear" w:color="000000" w:fill="D3DFEE"/>
            <w:noWrap/>
            <w:vAlign w:val="center"/>
            <w:hideMark/>
          </w:tcPr>
          <w:p w14:paraId="0B519018" w14:textId="07671F2F" w:rsidR="004B2513" w:rsidRPr="004B465C" w:rsidRDefault="004B2513" w:rsidP="004B465C">
            <w:pPr>
              <w:jc w:val="right"/>
              <w:rPr>
                <w:rFonts w:asciiTheme="minorHAnsi" w:eastAsia="华文细黑" w:hAnsiTheme="minorHAnsi" w:cs="Arial"/>
                <w:b/>
                <w:bCs/>
                <w:color w:val="000000"/>
                <w:sz w:val="20"/>
                <w:szCs w:val="20"/>
              </w:rPr>
            </w:pPr>
          </w:p>
        </w:tc>
        <w:tc>
          <w:tcPr>
            <w:tcW w:w="446" w:type="pct"/>
            <w:tcBorders>
              <w:top w:val="nil"/>
              <w:left w:val="nil"/>
              <w:bottom w:val="single" w:sz="4" w:space="0" w:color="auto"/>
              <w:right w:val="single" w:sz="4" w:space="0" w:color="auto"/>
            </w:tcBorders>
            <w:shd w:val="clear" w:color="000000" w:fill="D3DFEE"/>
            <w:noWrap/>
            <w:vAlign w:val="center"/>
            <w:hideMark/>
          </w:tcPr>
          <w:p w14:paraId="5311AEC7" w14:textId="1A2405D3" w:rsidR="004B2513" w:rsidRPr="004B465C" w:rsidRDefault="004B2513" w:rsidP="004B465C">
            <w:pPr>
              <w:jc w:val="right"/>
              <w:rPr>
                <w:rFonts w:asciiTheme="minorHAnsi" w:eastAsia="华文细黑" w:hAnsiTheme="minorHAnsi" w:cs="Arial"/>
                <w:b/>
                <w:bCs/>
                <w:color w:val="000000"/>
                <w:sz w:val="20"/>
                <w:szCs w:val="20"/>
              </w:rPr>
            </w:pPr>
          </w:p>
        </w:tc>
        <w:tc>
          <w:tcPr>
            <w:tcW w:w="612" w:type="pct"/>
            <w:tcBorders>
              <w:top w:val="nil"/>
              <w:left w:val="nil"/>
              <w:bottom w:val="single" w:sz="4" w:space="0" w:color="auto"/>
              <w:right w:val="single" w:sz="4" w:space="0" w:color="auto"/>
            </w:tcBorders>
            <w:shd w:val="clear" w:color="000000" w:fill="D3DFEE"/>
            <w:noWrap/>
            <w:vAlign w:val="center"/>
            <w:hideMark/>
          </w:tcPr>
          <w:p w14:paraId="686ADBC3" w14:textId="73002885" w:rsidR="004B2513" w:rsidRPr="004B465C" w:rsidRDefault="004B2513" w:rsidP="004B465C">
            <w:pPr>
              <w:jc w:val="right"/>
              <w:rPr>
                <w:rFonts w:asciiTheme="minorHAnsi" w:eastAsia="华文细黑" w:hAnsiTheme="minorHAnsi" w:cs="Arial"/>
                <w:b/>
                <w:bCs/>
                <w:color w:val="000000"/>
                <w:sz w:val="20"/>
                <w:szCs w:val="20"/>
              </w:rPr>
            </w:pPr>
          </w:p>
        </w:tc>
      </w:tr>
      <w:tr w:rsidR="004B2513" w:rsidRPr="004B2513" w14:paraId="084BDEF0" w14:textId="77777777" w:rsidTr="004B465C">
        <w:trPr>
          <w:trHeight w:val="312"/>
          <w:jc w:val="center"/>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14:paraId="7EB00ADC" w14:textId="194C4710" w:rsidR="004B2513" w:rsidRPr="004B465C" w:rsidRDefault="004B2513" w:rsidP="004B2513">
            <w:pPr>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建设期资金流出</w:t>
            </w:r>
          </w:p>
        </w:tc>
        <w:tc>
          <w:tcPr>
            <w:tcW w:w="446" w:type="pct"/>
            <w:tcBorders>
              <w:top w:val="nil"/>
              <w:left w:val="nil"/>
              <w:bottom w:val="single" w:sz="4" w:space="0" w:color="auto"/>
              <w:right w:val="single" w:sz="4" w:space="0" w:color="auto"/>
            </w:tcBorders>
            <w:shd w:val="clear" w:color="auto" w:fill="auto"/>
            <w:noWrap/>
            <w:vAlign w:val="center"/>
            <w:hideMark/>
          </w:tcPr>
          <w:p w14:paraId="429D9507" w14:textId="1E4F0196" w:rsidR="004B2513" w:rsidRPr="004B465C" w:rsidRDefault="004B2513" w:rsidP="004B465C">
            <w:pPr>
              <w:jc w:val="right"/>
              <w:rPr>
                <w:rFonts w:asciiTheme="minorHAnsi" w:eastAsia="华文细黑" w:hAnsiTheme="minorHAnsi" w:cs="Arial"/>
                <w:color w:val="000000"/>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326B182B" w14:textId="57FCA9FD" w:rsidR="004B2513" w:rsidRPr="004B465C" w:rsidRDefault="004B2513" w:rsidP="004B465C">
            <w:pPr>
              <w:jc w:val="right"/>
              <w:rPr>
                <w:rFonts w:asciiTheme="minorHAnsi" w:eastAsia="华文细黑" w:hAnsiTheme="minorHAnsi" w:cs="Arial"/>
                <w:color w:val="000000"/>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518AEF4E" w14:textId="1312283A" w:rsidR="004B2513" w:rsidRPr="004B465C" w:rsidRDefault="004B2513" w:rsidP="004B465C">
            <w:pPr>
              <w:jc w:val="right"/>
              <w:rPr>
                <w:rFonts w:asciiTheme="minorHAnsi" w:eastAsia="华文细黑" w:hAnsiTheme="minorHAnsi" w:cs="Arial"/>
                <w:color w:val="000000"/>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5A0B5A54" w14:textId="3A9E0054" w:rsidR="004B2513" w:rsidRPr="004B465C" w:rsidRDefault="004B2513" w:rsidP="004B465C">
            <w:pPr>
              <w:jc w:val="right"/>
              <w:rPr>
                <w:rFonts w:asciiTheme="minorHAnsi" w:eastAsia="华文细黑" w:hAnsiTheme="minorHAnsi" w:cs="Arial"/>
                <w:color w:val="000000"/>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00951DF0" w14:textId="5A7F6663" w:rsidR="004B2513" w:rsidRPr="004B465C" w:rsidRDefault="004B2513" w:rsidP="004B465C">
            <w:pPr>
              <w:jc w:val="right"/>
              <w:rPr>
                <w:rFonts w:asciiTheme="minorHAnsi" w:eastAsia="华文细黑" w:hAnsiTheme="minorHAnsi" w:cs="Arial"/>
                <w:color w:val="000000"/>
                <w:sz w:val="20"/>
                <w:szCs w:val="20"/>
              </w:rPr>
            </w:pPr>
          </w:p>
        </w:tc>
        <w:tc>
          <w:tcPr>
            <w:tcW w:w="477" w:type="pct"/>
            <w:tcBorders>
              <w:top w:val="nil"/>
              <w:left w:val="nil"/>
              <w:bottom w:val="single" w:sz="4" w:space="0" w:color="auto"/>
              <w:right w:val="single" w:sz="4" w:space="0" w:color="auto"/>
            </w:tcBorders>
            <w:shd w:val="clear" w:color="auto" w:fill="auto"/>
            <w:noWrap/>
            <w:vAlign w:val="center"/>
            <w:hideMark/>
          </w:tcPr>
          <w:p w14:paraId="73AA365C" w14:textId="6487D5EE" w:rsidR="004B2513" w:rsidRPr="004B465C" w:rsidRDefault="004B2513" w:rsidP="004B465C">
            <w:pPr>
              <w:jc w:val="right"/>
              <w:rPr>
                <w:rFonts w:asciiTheme="minorHAnsi" w:eastAsia="华文细黑" w:hAnsiTheme="minorHAnsi" w:cs="Arial"/>
                <w:color w:val="000000"/>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63F44DC6" w14:textId="4A26EFDD" w:rsidR="004B2513" w:rsidRPr="004B465C" w:rsidRDefault="004B2513" w:rsidP="004B465C">
            <w:pPr>
              <w:jc w:val="right"/>
              <w:rPr>
                <w:rFonts w:asciiTheme="minorHAnsi" w:eastAsia="华文细黑" w:hAnsiTheme="minorHAnsi" w:cs="Arial"/>
                <w:color w:val="000000"/>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2E588EF4" w14:textId="52CCDA69" w:rsidR="004B2513" w:rsidRPr="004B465C" w:rsidRDefault="004B2513" w:rsidP="004B465C">
            <w:pPr>
              <w:jc w:val="right"/>
              <w:rPr>
                <w:rFonts w:asciiTheme="minorHAnsi" w:eastAsia="华文细黑" w:hAnsiTheme="minorHAnsi" w:cs="Arial"/>
                <w:color w:val="000000"/>
                <w:sz w:val="20"/>
                <w:szCs w:val="20"/>
              </w:rPr>
            </w:pPr>
          </w:p>
        </w:tc>
        <w:tc>
          <w:tcPr>
            <w:tcW w:w="612" w:type="pct"/>
            <w:tcBorders>
              <w:top w:val="nil"/>
              <w:left w:val="nil"/>
              <w:bottom w:val="single" w:sz="4" w:space="0" w:color="auto"/>
              <w:right w:val="single" w:sz="4" w:space="0" w:color="auto"/>
            </w:tcBorders>
            <w:shd w:val="clear" w:color="auto" w:fill="auto"/>
            <w:noWrap/>
            <w:vAlign w:val="center"/>
            <w:hideMark/>
          </w:tcPr>
          <w:p w14:paraId="1671014F" w14:textId="17930AB2"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117,507.73</w:t>
            </w:r>
          </w:p>
        </w:tc>
      </w:tr>
      <w:tr w:rsidR="004B2513" w:rsidRPr="004B2513" w14:paraId="4884BCD8" w14:textId="77777777" w:rsidTr="004B465C">
        <w:trPr>
          <w:trHeight w:val="312"/>
          <w:jc w:val="center"/>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14:paraId="61B4493E" w14:textId="5B6BA319" w:rsidR="004B2513" w:rsidRPr="004B465C" w:rsidRDefault="004B2513" w:rsidP="004B2513">
            <w:pPr>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运营期现金流出</w:t>
            </w:r>
          </w:p>
        </w:tc>
        <w:tc>
          <w:tcPr>
            <w:tcW w:w="446" w:type="pct"/>
            <w:tcBorders>
              <w:top w:val="nil"/>
              <w:left w:val="nil"/>
              <w:bottom w:val="single" w:sz="4" w:space="0" w:color="auto"/>
              <w:right w:val="single" w:sz="4" w:space="0" w:color="auto"/>
            </w:tcBorders>
            <w:shd w:val="clear" w:color="auto" w:fill="auto"/>
            <w:noWrap/>
            <w:vAlign w:val="center"/>
            <w:hideMark/>
          </w:tcPr>
          <w:p w14:paraId="5C6AC83B" w14:textId="4308DDC0" w:rsidR="004B2513" w:rsidRPr="004B465C" w:rsidRDefault="004B2513" w:rsidP="004B465C">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w:t>
            </w:r>
          </w:p>
        </w:tc>
        <w:tc>
          <w:tcPr>
            <w:tcW w:w="446" w:type="pct"/>
            <w:tcBorders>
              <w:top w:val="nil"/>
              <w:left w:val="nil"/>
              <w:bottom w:val="single" w:sz="4" w:space="0" w:color="auto"/>
              <w:right w:val="single" w:sz="4" w:space="0" w:color="auto"/>
            </w:tcBorders>
            <w:shd w:val="clear" w:color="auto" w:fill="auto"/>
            <w:noWrap/>
            <w:vAlign w:val="center"/>
            <w:hideMark/>
          </w:tcPr>
          <w:p w14:paraId="0790712E" w14:textId="37ACF283" w:rsidR="004B2513" w:rsidRPr="004B465C" w:rsidRDefault="004B2513" w:rsidP="004B465C">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w:t>
            </w:r>
          </w:p>
        </w:tc>
        <w:tc>
          <w:tcPr>
            <w:tcW w:w="446" w:type="pct"/>
            <w:tcBorders>
              <w:top w:val="nil"/>
              <w:left w:val="nil"/>
              <w:bottom w:val="single" w:sz="4" w:space="0" w:color="auto"/>
              <w:right w:val="single" w:sz="4" w:space="0" w:color="auto"/>
            </w:tcBorders>
            <w:shd w:val="clear" w:color="auto" w:fill="auto"/>
            <w:noWrap/>
            <w:vAlign w:val="center"/>
            <w:hideMark/>
          </w:tcPr>
          <w:p w14:paraId="4B529AD9" w14:textId="37C32B1F" w:rsidR="004B2513" w:rsidRPr="004B465C" w:rsidRDefault="004B2513" w:rsidP="004B465C">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w:t>
            </w:r>
          </w:p>
        </w:tc>
        <w:tc>
          <w:tcPr>
            <w:tcW w:w="446" w:type="pct"/>
            <w:tcBorders>
              <w:top w:val="nil"/>
              <w:left w:val="nil"/>
              <w:bottom w:val="single" w:sz="4" w:space="0" w:color="auto"/>
              <w:right w:val="single" w:sz="4" w:space="0" w:color="auto"/>
            </w:tcBorders>
            <w:shd w:val="clear" w:color="auto" w:fill="auto"/>
            <w:noWrap/>
            <w:vAlign w:val="center"/>
            <w:hideMark/>
          </w:tcPr>
          <w:p w14:paraId="3B0B45F5" w14:textId="7CEB6C75" w:rsidR="004B2513" w:rsidRPr="004B465C" w:rsidRDefault="004B2513" w:rsidP="004B465C">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w:t>
            </w:r>
          </w:p>
        </w:tc>
        <w:tc>
          <w:tcPr>
            <w:tcW w:w="446" w:type="pct"/>
            <w:tcBorders>
              <w:top w:val="nil"/>
              <w:left w:val="nil"/>
              <w:bottom w:val="single" w:sz="4" w:space="0" w:color="auto"/>
              <w:right w:val="single" w:sz="4" w:space="0" w:color="auto"/>
            </w:tcBorders>
            <w:shd w:val="clear" w:color="auto" w:fill="auto"/>
            <w:noWrap/>
            <w:vAlign w:val="center"/>
            <w:hideMark/>
          </w:tcPr>
          <w:p w14:paraId="3A879AA7" w14:textId="7506054B" w:rsidR="004B2513" w:rsidRPr="004B465C" w:rsidRDefault="004B2513" w:rsidP="004B465C">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w:t>
            </w:r>
          </w:p>
        </w:tc>
        <w:tc>
          <w:tcPr>
            <w:tcW w:w="477" w:type="pct"/>
            <w:tcBorders>
              <w:top w:val="nil"/>
              <w:left w:val="nil"/>
              <w:bottom w:val="single" w:sz="4" w:space="0" w:color="auto"/>
              <w:right w:val="single" w:sz="4" w:space="0" w:color="auto"/>
            </w:tcBorders>
            <w:shd w:val="clear" w:color="auto" w:fill="auto"/>
            <w:noWrap/>
            <w:vAlign w:val="center"/>
            <w:hideMark/>
          </w:tcPr>
          <w:p w14:paraId="7F44B98D" w14:textId="19B8AB49" w:rsidR="004B2513" w:rsidRPr="004B465C" w:rsidRDefault="004B2513" w:rsidP="004B465C">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w:t>
            </w:r>
          </w:p>
        </w:tc>
        <w:tc>
          <w:tcPr>
            <w:tcW w:w="446" w:type="pct"/>
            <w:tcBorders>
              <w:top w:val="nil"/>
              <w:left w:val="nil"/>
              <w:bottom w:val="single" w:sz="4" w:space="0" w:color="auto"/>
              <w:right w:val="single" w:sz="4" w:space="0" w:color="auto"/>
            </w:tcBorders>
            <w:shd w:val="clear" w:color="auto" w:fill="auto"/>
            <w:noWrap/>
            <w:vAlign w:val="center"/>
            <w:hideMark/>
          </w:tcPr>
          <w:p w14:paraId="0A8F61F8" w14:textId="15C21094" w:rsidR="004B2513" w:rsidRPr="004B465C" w:rsidRDefault="004B2513" w:rsidP="004B465C">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w:t>
            </w:r>
          </w:p>
        </w:tc>
        <w:tc>
          <w:tcPr>
            <w:tcW w:w="446" w:type="pct"/>
            <w:tcBorders>
              <w:top w:val="nil"/>
              <w:left w:val="nil"/>
              <w:bottom w:val="single" w:sz="4" w:space="0" w:color="auto"/>
              <w:right w:val="single" w:sz="4" w:space="0" w:color="auto"/>
            </w:tcBorders>
            <w:shd w:val="clear" w:color="auto" w:fill="auto"/>
            <w:noWrap/>
            <w:vAlign w:val="center"/>
            <w:hideMark/>
          </w:tcPr>
          <w:p w14:paraId="39AE116E" w14:textId="6ED7EEE2" w:rsidR="004B2513" w:rsidRPr="004B465C" w:rsidRDefault="004B2513" w:rsidP="004B465C">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w:t>
            </w:r>
          </w:p>
        </w:tc>
        <w:tc>
          <w:tcPr>
            <w:tcW w:w="612" w:type="pct"/>
            <w:tcBorders>
              <w:top w:val="nil"/>
              <w:left w:val="nil"/>
              <w:bottom w:val="single" w:sz="4" w:space="0" w:color="auto"/>
              <w:right w:val="single" w:sz="4" w:space="0" w:color="auto"/>
            </w:tcBorders>
            <w:shd w:val="clear" w:color="auto" w:fill="auto"/>
            <w:noWrap/>
            <w:vAlign w:val="center"/>
            <w:hideMark/>
          </w:tcPr>
          <w:p w14:paraId="65DF747D" w14:textId="72AF58F6"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w:t>
            </w:r>
          </w:p>
        </w:tc>
      </w:tr>
      <w:tr w:rsidR="004B2513" w:rsidRPr="004B2513" w14:paraId="40E098D4" w14:textId="77777777" w:rsidTr="004B465C">
        <w:trPr>
          <w:trHeight w:val="312"/>
          <w:jc w:val="center"/>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14:paraId="274D97B7" w14:textId="09DD5D5C" w:rsidR="004B2513" w:rsidRPr="004B465C" w:rsidRDefault="004B2513" w:rsidP="004B2513">
            <w:pPr>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债券发行费用</w:t>
            </w:r>
          </w:p>
        </w:tc>
        <w:tc>
          <w:tcPr>
            <w:tcW w:w="446" w:type="pct"/>
            <w:tcBorders>
              <w:top w:val="nil"/>
              <w:left w:val="nil"/>
              <w:bottom w:val="single" w:sz="4" w:space="0" w:color="auto"/>
              <w:right w:val="single" w:sz="4" w:space="0" w:color="auto"/>
            </w:tcBorders>
            <w:shd w:val="clear" w:color="auto" w:fill="auto"/>
            <w:noWrap/>
            <w:vAlign w:val="center"/>
            <w:hideMark/>
          </w:tcPr>
          <w:p w14:paraId="66C21AE0" w14:textId="0C534A79" w:rsidR="004B2513" w:rsidRPr="004B465C" w:rsidRDefault="004B2513" w:rsidP="004B465C">
            <w:pPr>
              <w:jc w:val="right"/>
              <w:rPr>
                <w:rFonts w:asciiTheme="minorHAnsi" w:eastAsia="华文细黑" w:hAnsiTheme="minorHAnsi" w:cs="宋体"/>
                <w:color w:val="000000"/>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3F8DE395" w14:textId="725CB256" w:rsidR="004B2513" w:rsidRPr="004B465C" w:rsidRDefault="004B2513" w:rsidP="004B465C">
            <w:pPr>
              <w:jc w:val="right"/>
              <w:rPr>
                <w:rFonts w:asciiTheme="minorHAnsi" w:eastAsia="华文细黑" w:hAnsiTheme="minorHAnsi" w:cs="宋体"/>
                <w:color w:val="000000"/>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4160ADA9" w14:textId="693277CA" w:rsidR="004B2513" w:rsidRPr="004B465C" w:rsidRDefault="004B2513" w:rsidP="004B465C">
            <w:pPr>
              <w:jc w:val="right"/>
              <w:rPr>
                <w:rFonts w:asciiTheme="minorHAnsi" w:eastAsia="华文细黑" w:hAnsiTheme="minorHAnsi" w:cs="宋体"/>
                <w:color w:val="000000"/>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34F300C4" w14:textId="502A659C" w:rsidR="004B2513" w:rsidRPr="004B465C" w:rsidRDefault="004B2513" w:rsidP="004B465C">
            <w:pPr>
              <w:jc w:val="right"/>
              <w:rPr>
                <w:rFonts w:asciiTheme="minorHAnsi" w:eastAsia="华文细黑" w:hAnsiTheme="minorHAnsi" w:cs="宋体"/>
                <w:color w:val="000000"/>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697126E8" w14:textId="0588FABA" w:rsidR="004B2513" w:rsidRPr="004B465C" w:rsidRDefault="004B2513" w:rsidP="004B465C">
            <w:pPr>
              <w:jc w:val="right"/>
              <w:rPr>
                <w:rFonts w:asciiTheme="minorHAnsi" w:eastAsia="华文细黑" w:hAnsiTheme="minorHAnsi" w:cs="宋体"/>
                <w:color w:val="000000"/>
                <w:sz w:val="20"/>
                <w:szCs w:val="20"/>
              </w:rPr>
            </w:pPr>
          </w:p>
        </w:tc>
        <w:tc>
          <w:tcPr>
            <w:tcW w:w="477" w:type="pct"/>
            <w:tcBorders>
              <w:top w:val="nil"/>
              <w:left w:val="nil"/>
              <w:bottom w:val="single" w:sz="4" w:space="0" w:color="auto"/>
              <w:right w:val="single" w:sz="4" w:space="0" w:color="auto"/>
            </w:tcBorders>
            <w:shd w:val="clear" w:color="auto" w:fill="auto"/>
            <w:noWrap/>
            <w:vAlign w:val="center"/>
            <w:hideMark/>
          </w:tcPr>
          <w:p w14:paraId="34EE8BF7" w14:textId="73075801" w:rsidR="004B2513" w:rsidRPr="004B465C" w:rsidRDefault="004B2513" w:rsidP="004B465C">
            <w:pPr>
              <w:jc w:val="right"/>
              <w:rPr>
                <w:rFonts w:asciiTheme="minorHAnsi" w:eastAsia="华文细黑" w:hAnsiTheme="minorHAnsi" w:cs="宋体"/>
                <w:color w:val="000000"/>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3E7C5BF8" w14:textId="7BC82588" w:rsidR="004B2513" w:rsidRPr="004B465C" w:rsidRDefault="004B2513" w:rsidP="004B465C">
            <w:pPr>
              <w:jc w:val="right"/>
              <w:rPr>
                <w:rFonts w:asciiTheme="minorHAnsi" w:eastAsia="华文细黑" w:hAnsiTheme="minorHAnsi" w:cs="宋体"/>
                <w:color w:val="000000"/>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43E11FBF" w14:textId="4854C652" w:rsidR="004B2513" w:rsidRPr="004B465C" w:rsidRDefault="004B2513" w:rsidP="004B465C">
            <w:pPr>
              <w:jc w:val="right"/>
              <w:rPr>
                <w:rFonts w:asciiTheme="minorHAnsi" w:eastAsia="华文细黑" w:hAnsiTheme="minorHAnsi" w:cs="宋体"/>
                <w:color w:val="000000"/>
                <w:sz w:val="20"/>
                <w:szCs w:val="20"/>
              </w:rPr>
            </w:pPr>
          </w:p>
        </w:tc>
        <w:tc>
          <w:tcPr>
            <w:tcW w:w="612" w:type="pct"/>
            <w:tcBorders>
              <w:top w:val="nil"/>
              <w:left w:val="nil"/>
              <w:bottom w:val="single" w:sz="4" w:space="0" w:color="auto"/>
              <w:right w:val="single" w:sz="4" w:space="0" w:color="auto"/>
            </w:tcBorders>
            <w:shd w:val="clear" w:color="auto" w:fill="auto"/>
            <w:noWrap/>
            <w:vAlign w:val="center"/>
            <w:hideMark/>
          </w:tcPr>
          <w:p w14:paraId="2E8BB662" w14:textId="49361F29"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58.60</w:t>
            </w:r>
          </w:p>
        </w:tc>
      </w:tr>
      <w:tr w:rsidR="004B2513" w:rsidRPr="004B2513" w14:paraId="3B820835" w14:textId="77777777" w:rsidTr="004B465C">
        <w:trPr>
          <w:trHeight w:val="312"/>
          <w:jc w:val="center"/>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14:paraId="0353E4F2" w14:textId="54191B7C" w:rsidR="004B2513" w:rsidRPr="004B465C" w:rsidRDefault="004B2513" w:rsidP="004B2513">
            <w:pPr>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债券还本付息</w:t>
            </w:r>
          </w:p>
        </w:tc>
        <w:tc>
          <w:tcPr>
            <w:tcW w:w="446" w:type="pct"/>
            <w:tcBorders>
              <w:top w:val="nil"/>
              <w:left w:val="nil"/>
              <w:bottom w:val="single" w:sz="4" w:space="0" w:color="auto"/>
              <w:right w:val="single" w:sz="4" w:space="0" w:color="auto"/>
            </w:tcBorders>
            <w:shd w:val="clear" w:color="auto" w:fill="auto"/>
            <w:noWrap/>
            <w:vAlign w:val="center"/>
            <w:hideMark/>
          </w:tcPr>
          <w:p w14:paraId="4482C8EB" w14:textId="57FA2376" w:rsidR="004B2513" w:rsidRPr="004B465C" w:rsidRDefault="004B2513" w:rsidP="004B465C">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10,839.41</w:t>
            </w:r>
          </w:p>
        </w:tc>
        <w:tc>
          <w:tcPr>
            <w:tcW w:w="446" w:type="pct"/>
            <w:tcBorders>
              <w:top w:val="nil"/>
              <w:left w:val="nil"/>
              <w:bottom w:val="single" w:sz="4" w:space="0" w:color="auto"/>
              <w:right w:val="single" w:sz="4" w:space="0" w:color="auto"/>
            </w:tcBorders>
            <w:shd w:val="clear" w:color="auto" w:fill="auto"/>
            <w:noWrap/>
            <w:vAlign w:val="center"/>
            <w:hideMark/>
          </w:tcPr>
          <w:p w14:paraId="6862B145" w14:textId="59ABD46D" w:rsidR="004B2513" w:rsidRPr="004B465C" w:rsidRDefault="004B2513" w:rsidP="004B465C">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9,985.47</w:t>
            </w:r>
          </w:p>
        </w:tc>
        <w:tc>
          <w:tcPr>
            <w:tcW w:w="446" w:type="pct"/>
            <w:tcBorders>
              <w:top w:val="nil"/>
              <w:left w:val="nil"/>
              <w:bottom w:val="single" w:sz="4" w:space="0" w:color="auto"/>
              <w:right w:val="single" w:sz="4" w:space="0" w:color="auto"/>
            </w:tcBorders>
            <w:shd w:val="clear" w:color="auto" w:fill="auto"/>
            <w:noWrap/>
            <w:vAlign w:val="center"/>
            <w:hideMark/>
          </w:tcPr>
          <w:p w14:paraId="2D378301" w14:textId="390DE223" w:rsidR="004B2513" w:rsidRPr="004B465C" w:rsidRDefault="004B2513" w:rsidP="004B465C">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2,037.55</w:t>
            </w:r>
          </w:p>
        </w:tc>
        <w:tc>
          <w:tcPr>
            <w:tcW w:w="446" w:type="pct"/>
            <w:tcBorders>
              <w:top w:val="nil"/>
              <w:left w:val="nil"/>
              <w:bottom w:val="single" w:sz="4" w:space="0" w:color="auto"/>
              <w:right w:val="single" w:sz="4" w:space="0" w:color="auto"/>
            </w:tcBorders>
            <w:shd w:val="clear" w:color="auto" w:fill="auto"/>
            <w:noWrap/>
            <w:vAlign w:val="center"/>
            <w:hideMark/>
          </w:tcPr>
          <w:p w14:paraId="45A97629" w14:textId="47E8DB92" w:rsidR="004B2513" w:rsidRPr="004B465C" w:rsidRDefault="004B2513" w:rsidP="004B465C">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1,014.65</w:t>
            </w:r>
          </w:p>
        </w:tc>
        <w:tc>
          <w:tcPr>
            <w:tcW w:w="446" w:type="pct"/>
            <w:tcBorders>
              <w:top w:val="nil"/>
              <w:left w:val="nil"/>
              <w:bottom w:val="single" w:sz="4" w:space="0" w:color="auto"/>
              <w:right w:val="single" w:sz="4" w:space="0" w:color="auto"/>
            </w:tcBorders>
            <w:shd w:val="clear" w:color="auto" w:fill="auto"/>
            <w:noWrap/>
            <w:vAlign w:val="center"/>
            <w:hideMark/>
          </w:tcPr>
          <w:p w14:paraId="1126D099" w14:textId="63F94240" w:rsidR="004B2513" w:rsidRPr="004B465C" w:rsidRDefault="004B2513" w:rsidP="004B465C">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1,014.65</w:t>
            </w:r>
          </w:p>
        </w:tc>
        <w:tc>
          <w:tcPr>
            <w:tcW w:w="477" w:type="pct"/>
            <w:tcBorders>
              <w:top w:val="nil"/>
              <w:left w:val="nil"/>
              <w:bottom w:val="single" w:sz="4" w:space="0" w:color="auto"/>
              <w:right w:val="single" w:sz="4" w:space="0" w:color="auto"/>
            </w:tcBorders>
            <w:shd w:val="clear" w:color="auto" w:fill="auto"/>
            <w:noWrap/>
            <w:vAlign w:val="center"/>
            <w:hideMark/>
          </w:tcPr>
          <w:p w14:paraId="191D3EEC" w14:textId="0E8AE80F" w:rsidR="004B2513" w:rsidRPr="004B465C" w:rsidRDefault="004B2513" w:rsidP="004B465C">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32,014.65</w:t>
            </w:r>
          </w:p>
        </w:tc>
        <w:tc>
          <w:tcPr>
            <w:tcW w:w="446" w:type="pct"/>
            <w:tcBorders>
              <w:top w:val="nil"/>
              <w:left w:val="nil"/>
              <w:bottom w:val="single" w:sz="4" w:space="0" w:color="auto"/>
              <w:right w:val="single" w:sz="4" w:space="0" w:color="auto"/>
            </w:tcBorders>
            <w:shd w:val="clear" w:color="auto" w:fill="auto"/>
            <w:noWrap/>
            <w:vAlign w:val="center"/>
            <w:hideMark/>
          </w:tcPr>
          <w:p w14:paraId="1203A633" w14:textId="37EDE741" w:rsidR="004B2513" w:rsidRPr="004B465C" w:rsidRDefault="004B2513" w:rsidP="004B465C">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555.48</w:t>
            </w:r>
          </w:p>
        </w:tc>
        <w:tc>
          <w:tcPr>
            <w:tcW w:w="446" w:type="pct"/>
            <w:tcBorders>
              <w:top w:val="nil"/>
              <w:left w:val="nil"/>
              <w:bottom w:val="single" w:sz="4" w:space="0" w:color="auto"/>
              <w:right w:val="single" w:sz="4" w:space="0" w:color="auto"/>
            </w:tcBorders>
            <w:shd w:val="clear" w:color="auto" w:fill="auto"/>
            <w:noWrap/>
            <w:vAlign w:val="center"/>
            <w:hideMark/>
          </w:tcPr>
          <w:p w14:paraId="310BAA6D" w14:textId="3088E20B" w:rsidR="004B2513" w:rsidRPr="004B465C" w:rsidRDefault="004B2513" w:rsidP="004B465C">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2,048.00</w:t>
            </w:r>
          </w:p>
        </w:tc>
        <w:tc>
          <w:tcPr>
            <w:tcW w:w="612" w:type="pct"/>
            <w:tcBorders>
              <w:top w:val="nil"/>
              <w:left w:val="nil"/>
              <w:bottom w:val="single" w:sz="4" w:space="0" w:color="auto"/>
              <w:right w:val="single" w:sz="4" w:space="0" w:color="auto"/>
            </w:tcBorders>
            <w:shd w:val="clear" w:color="auto" w:fill="auto"/>
            <w:noWrap/>
            <w:vAlign w:val="center"/>
            <w:hideMark/>
          </w:tcPr>
          <w:p w14:paraId="2795DE68" w14:textId="5EC99679"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91,559.52</w:t>
            </w:r>
          </w:p>
        </w:tc>
      </w:tr>
      <w:tr w:rsidR="004B2513" w:rsidRPr="004B2513" w14:paraId="206BE348" w14:textId="77777777" w:rsidTr="004B465C">
        <w:trPr>
          <w:trHeight w:val="312"/>
          <w:jc w:val="center"/>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14:paraId="0681BD96" w14:textId="3ADE1FD2" w:rsidR="004B2513" w:rsidRPr="004B465C" w:rsidRDefault="004B2513" w:rsidP="004B2513">
            <w:pPr>
              <w:rPr>
                <w:rFonts w:asciiTheme="minorHAnsi" w:eastAsia="华文细黑" w:hAnsiTheme="minorHAnsi" w:cs="宋体"/>
                <w:b/>
                <w:bCs/>
                <w:color w:val="000000"/>
                <w:sz w:val="20"/>
                <w:szCs w:val="20"/>
              </w:rPr>
            </w:pPr>
            <w:r w:rsidRPr="004B465C">
              <w:rPr>
                <w:rFonts w:asciiTheme="minorHAnsi" w:eastAsia="华文细黑" w:hAnsiTheme="minorHAnsi" w:cs="宋体" w:hint="eastAsia"/>
                <w:b/>
                <w:bCs/>
                <w:color w:val="000000"/>
                <w:sz w:val="20"/>
                <w:szCs w:val="20"/>
              </w:rPr>
              <w:t>现金流出总额</w:t>
            </w:r>
          </w:p>
        </w:tc>
        <w:tc>
          <w:tcPr>
            <w:tcW w:w="446" w:type="pct"/>
            <w:tcBorders>
              <w:top w:val="nil"/>
              <w:left w:val="nil"/>
              <w:bottom w:val="single" w:sz="4" w:space="0" w:color="auto"/>
              <w:right w:val="single" w:sz="4" w:space="0" w:color="auto"/>
            </w:tcBorders>
            <w:shd w:val="clear" w:color="auto" w:fill="auto"/>
            <w:noWrap/>
            <w:vAlign w:val="center"/>
            <w:hideMark/>
          </w:tcPr>
          <w:p w14:paraId="3A52DF49" w14:textId="661C5396"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10,839.41</w:t>
            </w:r>
          </w:p>
        </w:tc>
        <w:tc>
          <w:tcPr>
            <w:tcW w:w="446" w:type="pct"/>
            <w:tcBorders>
              <w:top w:val="nil"/>
              <w:left w:val="nil"/>
              <w:bottom w:val="single" w:sz="4" w:space="0" w:color="auto"/>
              <w:right w:val="single" w:sz="4" w:space="0" w:color="auto"/>
            </w:tcBorders>
            <w:shd w:val="clear" w:color="auto" w:fill="auto"/>
            <w:noWrap/>
            <w:vAlign w:val="center"/>
            <w:hideMark/>
          </w:tcPr>
          <w:p w14:paraId="184CCB6A" w14:textId="3C9707C0"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9,985.47</w:t>
            </w:r>
          </w:p>
        </w:tc>
        <w:tc>
          <w:tcPr>
            <w:tcW w:w="446" w:type="pct"/>
            <w:tcBorders>
              <w:top w:val="nil"/>
              <w:left w:val="nil"/>
              <w:bottom w:val="single" w:sz="4" w:space="0" w:color="auto"/>
              <w:right w:val="single" w:sz="4" w:space="0" w:color="auto"/>
            </w:tcBorders>
            <w:shd w:val="clear" w:color="auto" w:fill="auto"/>
            <w:noWrap/>
            <w:vAlign w:val="center"/>
            <w:hideMark/>
          </w:tcPr>
          <w:p w14:paraId="55245775" w14:textId="7456609C"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2,037.55</w:t>
            </w:r>
          </w:p>
        </w:tc>
        <w:tc>
          <w:tcPr>
            <w:tcW w:w="446" w:type="pct"/>
            <w:tcBorders>
              <w:top w:val="nil"/>
              <w:left w:val="nil"/>
              <w:bottom w:val="single" w:sz="4" w:space="0" w:color="auto"/>
              <w:right w:val="single" w:sz="4" w:space="0" w:color="auto"/>
            </w:tcBorders>
            <w:shd w:val="clear" w:color="auto" w:fill="auto"/>
            <w:noWrap/>
            <w:vAlign w:val="center"/>
            <w:hideMark/>
          </w:tcPr>
          <w:p w14:paraId="6E3BF4F3" w14:textId="172647DA"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1,014.65</w:t>
            </w:r>
          </w:p>
        </w:tc>
        <w:tc>
          <w:tcPr>
            <w:tcW w:w="446" w:type="pct"/>
            <w:tcBorders>
              <w:top w:val="nil"/>
              <w:left w:val="nil"/>
              <w:bottom w:val="single" w:sz="4" w:space="0" w:color="auto"/>
              <w:right w:val="single" w:sz="4" w:space="0" w:color="auto"/>
            </w:tcBorders>
            <w:shd w:val="clear" w:color="auto" w:fill="auto"/>
            <w:noWrap/>
            <w:vAlign w:val="center"/>
            <w:hideMark/>
          </w:tcPr>
          <w:p w14:paraId="0D30F921" w14:textId="22F3F048"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1,014.65</w:t>
            </w:r>
          </w:p>
        </w:tc>
        <w:tc>
          <w:tcPr>
            <w:tcW w:w="477" w:type="pct"/>
            <w:tcBorders>
              <w:top w:val="nil"/>
              <w:left w:val="nil"/>
              <w:bottom w:val="single" w:sz="4" w:space="0" w:color="auto"/>
              <w:right w:val="single" w:sz="4" w:space="0" w:color="auto"/>
            </w:tcBorders>
            <w:shd w:val="clear" w:color="auto" w:fill="auto"/>
            <w:noWrap/>
            <w:vAlign w:val="center"/>
            <w:hideMark/>
          </w:tcPr>
          <w:p w14:paraId="2AD21B5D" w14:textId="0D0C2253"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32,014.65</w:t>
            </w:r>
          </w:p>
        </w:tc>
        <w:tc>
          <w:tcPr>
            <w:tcW w:w="446" w:type="pct"/>
            <w:tcBorders>
              <w:top w:val="nil"/>
              <w:left w:val="nil"/>
              <w:bottom w:val="single" w:sz="4" w:space="0" w:color="auto"/>
              <w:right w:val="single" w:sz="4" w:space="0" w:color="auto"/>
            </w:tcBorders>
            <w:shd w:val="clear" w:color="auto" w:fill="auto"/>
            <w:noWrap/>
            <w:vAlign w:val="center"/>
            <w:hideMark/>
          </w:tcPr>
          <w:p w14:paraId="59709759" w14:textId="3ED489C6"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555.48</w:t>
            </w:r>
          </w:p>
        </w:tc>
        <w:tc>
          <w:tcPr>
            <w:tcW w:w="446" w:type="pct"/>
            <w:tcBorders>
              <w:top w:val="nil"/>
              <w:left w:val="nil"/>
              <w:bottom w:val="single" w:sz="4" w:space="0" w:color="auto"/>
              <w:right w:val="single" w:sz="4" w:space="0" w:color="auto"/>
            </w:tcBorders>
            <w:shd w:val="clear" w:color="auto" w:fill="auto"/>
            <w:noWrap/>
            <w:vAlign w:val="center"/>
            <w:hideMark/>
          </w:tcPr>
          <w:p w14:paraId="4F6B25FF" w14:textId="3F1A10D5"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2,048.00</w:t>
            </w:r>
          </w:p>
        </w:tc>
        <w:tc>
          <w:tcPr>
            <w:tcW w:w="612" w:type="pct"/>
            <w:tcBorders>
              <w:top w:val="nil"/>
              <w:left w:val="nil"/>
              <w:bottom w:val="single" w:sz="4" w:space="0" w:color="auto"/>
              <w:right w:val="single" w:sz="4" w:space="0" w:color="auto"/>
            </w:tcBorders>
            <w:shd w:val="clear" w:color="auto" w:fill="auto"/>
            <w:noWrap/>
            <w:vAlign w:val="center"/>
            <w:hideMark/>
          </w:tcPr>
          <w:p w14:paraId="5C9D7A5B" w14:textId="58E8D67F"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209,125.85</w:t>
            </w:r>
          </w:p>
        </w:tc>
      </w:tr>
      <w:tr w:rsidR="004B2513" w:rsidRPr="004B2513" w14:paraId="4C026446" w14:textId="77777777" w:rsidTr="004B465C">
        <w:trPr>
          <w:trHeight w:val="312"/>
          <w:jc w:val="center"/>
        </w:trPr>
        <w:tc>
          <w:tcPr>
            <w:tcW w:w="788" w:type="pct"/>
            <w:tcBorders>
              <w:top w:val="nil"/>
              <w:left w:val="single" w:sz="4" w:space="0" w:color="auto"/>
              <w:bottom w:val="single" w:sz="4" w:space="0" w:color="auto"/>
              <w:right w:val="single" w:sz="4" w:space="0" w:color="auto"/>
            </w:tcBorders>
            <w:shd w:val="clear" w:color="000000" w:fill="D3DFEE"/>
            <w:noWrap/>
            <w:vAlign w:val="center"/>
            <w:hideMark/>
          </w:tcPr>
          <w:p w14:paraId="65FAFC0C" w14:textId="13312682" w:rsidR="004B2513" w:rsidRPr="004B465C" w:rsidRDefault="004B2513" w:rsidP="004B465C">
            <w:pPr>
              <w:rPr>
                <w:rFonts w:asciiTheme="minorHAnsi" w:eastAsia="华文细黑" w:hAnsiTheme="minorHAnsi" w:cs="宋体"/>
                <w:b/>
                <w:bCs/>
                <w:color w:val="000000"/>
                <w:sz w:val="20"/>
                <w:szCs w:val="20"/>
              </w:rPr>
            </w:pPr>
            <w:r w:rsidRPr="004B465C">
              <w:rPr>
                <w:rFonts w:asciiTheme="minorHAnsi" w:eastAsia="华文细黑" w:hAnsiTheme="minorHAnsi" w:cs="宋体" w:hint="eastAsia"/>
                <w:b/>
                <w:bCs/>
                <w:color w:val="000000"/>
                <w:sz w:val="20"/>
                <w:szCs w:val="20"/>
              </w:rPr>
              <w:t>现金净流量</w:t>
            </w:r>
          </w:p>
        </w:tc>
        <w:tc>
          <w:tcPr>
            <w:tcW w:w="446" w:type="pct"/>
            <w:tcBorders>
              <w:top w:val="nil"/>
              <w:left w:val="nil"/>
              <w:bottom w:val="single" w:sz="4" w:space="0" w:color="auto"/>
              <w:right w:val="single" w:sz="4" w:space="0" w:color="auto"/>
            </w:tcBorders>
            <w:shd w:val="clear" w:color="000000" w:fill="D3DFEE"/>
            <w:noWrap/>
            <w:vAlign w:val="center"/>
            <w:hideMark/>
          </w:tcPr>
          <w:p w14:paraId="68A44FB8" w14:textId="5F9F06E4" w:rsidR="004B2513" w:rsidRPr="004B465C" w:rsidRDefault="004B2513" w:rsidP="004B465C">
            <w:pPr>
              <w:jc w:val="right"/>
              <w:rPr>
                <w:rFonts w:asciiTheme="minorHAnsi" w:eastAsia="华文细黑" w:hAnsiTheme="minorHAnsi" w:cs="Arial"/>
                <w:b/>
                <w:bCs/>
                <w:color w:val="000000"/>
                <w:sz w:val="20"/>
                <w:szCs w:val="20"/>
              </w:rPr>
            </w:pPr>
          </w:p>
        </w:tc>
        <w:tc>
          <w:tcPr>
            <w:tcW w:w="446" w:type="pct"/>
            <w:tcBorders>
              <w:top w:val="nil"/>
              <w:left w:val="nil"/>
              <w:bottom w:val="single" w:sz="4" w:space="0" w:color="auto"/>
              <w:right w:val="single" w:sz="4" w:space="0" w:color="auto"/>
            </w:tcBorders>
            <w:shd w:val="clear" w:color="000000" w:fill="D3DFEE"/>
            <w:noWrap/>
            <w:vAlign w:val="center"/>
            <w:hideMark/>
          </w:tcPr>
          <w:p w14:paraId="02932D40" w14:textId="72D84579" w:rsidR="004B2513" w:rsidRPr="004B465C" w:rsidRDefault="004B2513" w:rsidP="004B465C">
            <w:pPr>
              <w:jc w:val="right"/>
              <w:rPr>
                <w:rFonts w:asciiTheme="minorHAnsi" w:eastAsia="华文细黑" w:hAnsiTheme="minorHAnsi" w:cs="Arial"/>
                <w:b/>
                <w:bCs/>
                <w:color w:val="000000"/>
                <w:sz w:val="20"/>
                <w:szCs w:val="20"/>
              </w:rPr>
            </w:pPr>
          </w:p>
        </w:tc>
        <w:tc>
          <w:tcPr>
            <w:tcW w:w="446" w:type="pct"/>
            <w:tcBorders>
              <w:top w:val="nil"/>
              <w:left w:val="nil"/>
              <w:bottom w:val="single" w:sz="4" w:space="0" w:color="auto"/>
              <w:right w:val="single" w:sz="4" w:space="0" w:color="auto"/>
            </w:tcBorders>
            <w:shd w:val="clear" w:color="000000" w:fill="D3DFEE"/>
            <w:noWrap/>
            <w:vAlign w:val="center"/>
            <w:hideMark/>
          </w:tcPr>
          <w:p w14:paraId="633B96D6" w14:textId="6DEE1B54" w:rsidR="004B2513" w:rsidRPr="004B465C" w:rsidRDefault="004B2513" w:rsidP="004B465C">
            <w:pPr>
              <w:jc w:val="right"/>
              <w:rPr>
                <w:rFonts w:asciiTheme="minorHAnsi" w:eastAsia="华文细黑" w:hAnsiTheme="minorHAnsi" w:cs="Arial"/>
                <w:b/>
                <w:bCs/>
                <w:color w:val="000000"/>
                <w:sz w:val="20"/>
                <w:szCs w:val="20"/>
              </w:rPr>
            </w:pPr>
          </w:p>
        </w:tc>
        <w:tc>
          <w:tcPr>
            <w:tcW w:w="446" w:type="pct"/>
            <w:tcBorders>
              <w:top w:val="nil"/>
              <w:left w:val="nil"/>
              <w:bottom w:val="single" w:sz="4" w:space="0" w:color="auto"/>
              <w:right w:val="single" w:sz="4" w:space="0" w:color="auto"/>
            </w:tcBorders>
            <w:shd w:val="clear" w:color="000000" w:fill="D3DFEE"/>
            <w:noWrap/>
            <w:vAlign w:val="center"/>
            <w:hideMark/>
          </w:tcPr>
          <w:p w14:paraId="00167E7E" w14:textId="629B66C4" w:rsidR="004B2513" w:rsidRPr="004B465C" w:rsidRDefault="004B2513" w:rsidP="004B465C">
            <w:pPr>
              <w:jc w:val="right"/>
              <w:rPr>
                <w:rFonts w:asciiTheme="minorHAnsi" w:eastAsia="华文细黑" w:hAnsiTheme="minorHAnsi" w:cs="Arial"/>
                <w:b/>
                <w:bCs/>
                <w:color w:val="000000"/>
                <w:sz w:val="20"/>
                <w:szCs w:val="20"/>
              </w:rPr>
            </w:pPr>
          </w:p>
        </w:tc>
        <w:tc>
          <w:tcPr>
            <w:tcW w:w="446" w:type="pct"/>
            <w:tcBorders>
              <w:top w:val="nil"/>
              <w:left w:val="nil"/>
              <w:bottom w:val="single" w:sz="4" w:space="0" w:color="auto"/>
              <w:right w:val="single" w:sz="4" w:space="0" w:color="auto"/>
            </w:tcBorders>
            <w:shd w:val="clear" w:color="000000" w:fill="D3DFEE"/>
            <w:noWrap/>
            <w:vAlign w:val="center"/>
            <w:hideMark/>
          </w:tcPr>
          <w:p w14:paraId="79FF5DB8" w14:textId="7EC253C7" w:rsidR="004B2513" w:rsidRPr="004B465C" w:rsidRDefault="004B2513" w:rsidP="004B465C">
            <w:pPr>
              <w:jc w:val="right"/>
              <w:rPr>
                <w:rFonts w:asciiTheme="minorHAnsi" w:eastAsia="华文细黑" w:hAnsiTheme="minorHAnsi" w:cs="Arial"/>
                <w:b/>
                <w:bCs/>
                <w:color w:val="000000"/>
                <w:sz w:val="20"/>
                <w:szCs w:val="20"/>
              </w:rPr>
            </w:pPr>
          </w:p>
        </w:tc>
        <w:tc>
          <w:tcPr>
            <w:tcW w:w="477" w:type="pct"/>
            <w:tcBorders>
              <w:top w:val="nil"/>
              <w:left w:val="nil"/>
              <w:bottom w:val="single" w:sz="4" w:space="0" w:color="auto"/>
              <w:right w:val="single" w:sz="4" w:space="0" w:color="auto"/>
            </w:tcBorders>
            <w:shd w:val="clear" w:color="000000" w:fill="D3DFEE"/>
            <w:noWrap/>
            <w:vAlign w:val="center"/>
            <w:hideMark/>
          </w:tcPr>
          <w:p w14:paraId="54BB53A8" w14:textId="0014ECB0" w:rsidR="004B2513" w:rsidRPr="004B465C" w:rsidRDefault="004B2513" w:rsidP="004B465C">
            <w:pPr>
              <w:jc w:val="right"/>
              <w:rPr>
                <w:rFonts w:asciiTheme="minorHAnsi" w:eastAsia="华文细黑" w:hAnsiTheme="minorHAnsi" w:cs="Arial"/>
                <w:b/>
                <w:bCs/>
                <w:color w:val="000000"/>
                <w:sz w:val="20"/>
                <w:szCs w:val="20"/>
              </w:rPr>
            </w:pPr>
          </w:p>
        </w:tc>
        <w:tc>
          <w:tcPr>
            <w:tcW w:w="446" w:type="pct"/>
            <w:tcBorders>
              <w:top w:val="nil"/>
              <w:left w:val="nil"/>
              <w:bottom w:val="single" w:sz="4" w:space="0" w:color="auto"/>
              <w:right w:val="single" w:sz="4" w:space="0" w:color="auto"/>
            </w:tcBorders>
            <w:shd w:val="clear" w:color="000000" w:fill="D3DFEE"/>
            <w:noWrap/>
            <w:vAlign w:val="center"/>
            <w:hideMark/>
          </w:tcPr>
          <w:p w14:paraId="3185263B" w14:textId="3DC8C4EC" w:rsidR="004B2513" w:rsidRPr="004B465C" w:rsidRDefault="004B2513" w:rsidP="004B465C">
            <w:pPr>
              <w:jc w:val="right"/>
              <w:rPr>
                <w:rFonts w:asciiTheme="minorHAnsi" w:eastAsia="华文细黑" w:hAnsiTheme="minorHAnsi" w:cs="Arial"/>
                <w:b/>
                <w:bCs/>
                <w:color w:val="000000"/>
                <w:sz w:val="20"/>
                <w:szCs w:val="20"/>
              </w:rPr>
            </w:pPr>
          </w:p>
        </w:tc>
        <w:tc>
          <w:tcPr>
            <w:tcW w:w="446" w:type="pct"/>
            <w:tcBorders>
              <w:top w:val="nil"/>
              <w:left w:val="nil"/>
              <w:bottom w:val="single" w:sz="4" w:space="0" w:color="auto"/>
              <w:right w:val="single" w:sz="4" w:space="0" w:color="auto"/>
            </w:tcBorders>
            <w:shd w:val="clear" w:color="000000" w:fill="D3DFEE"/>
            <w:noWrap/>
            <w:vAlign w:val="center"/>
            <w:hideMark/>
          </w:tcPr>
          <w:p w14:paraId="5C1862E0" w14:textId="5A377949" w:rsidR="004B2513" w:rsidRPr="004B465C" w:rsidRDefault="004B2513" w:rsidP="004B465C">
            <w:pPr>
              <w:jc w:val="right"/>
              <w:rPr>
                <w:rFonts w:asciiTheme="minorHAnsi" w:eastAsia="华文细黑" w:hAnsiTheme="minorHAnsi" w:cs="Arial"/>
                <w:b/>
                <w:bCs/>
                <w:color w:val="000000"/>
                <w:sz w:val="20"/>
                <w:szCs w:val="20"/>
              </w:rPr>
            </w:pPr>
          </w:p>
        </w:tc>
        <w:tc>
          <w:tcPr>
            <w:tcW w:w="612" w:type="pct"/>
            <w:tcBorders>
              <w:top w:val="nil"/>
              <w:left w:val="nil"/>
              <w:bottom w:val="single" w:sz="4" w:space="0" w:color="auto"/>
              <w:right w:val="single" w:sz="4" w:space="0" w:color="auto"/>
            </w:tcBorders>
            <w:shd w:val="clear" w:color="000000" w:fill="D3DFEE"/>
            <w:noWrap/>
            <w:vAlign w:val="center"/>
            <w:hideMark/>
          </w:tcPr>
          <w:p w14:paraId="2E96031E" w14:textId="1D34CE0C" w:rsidR="004B2513" w:rsidRPr="004B465C" w:rsidRDefault="004B2513" w:rsidP="004B465C">
            <w:pPr>
              <w:jc w:val="right"/>
              <w:rPr>
                <w:rFonts w:asciiTheme="minorHAnsi" w:eastAsia="华文细黑" w:hAnsiTheme="minorHAnsi" w:cs="Arial"/>
                <w:b/>
                <w:bCs/>
                <w:color w:val="000000"/>
                <w:sz w:val="20"/>
                <w:szCs w:val="20"/>
              </w:rPr>
            </w:pPr>
          </w:p>
        </w:tc>
      </w:tr>
      <w:tr w:rsidR="004B2513" w:rsidRPr="004B2513" w14:paraId="4D37C3CA" w14:textId="77777777" w:rsidTr="004B465C">
        <w:trPr>
          <w:trHeight w:val="312"/>
          <w:jc w:val="center"/>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14:paraId="12CDAB1F" w14:textId="3512CAAE" w:rsidR="004B2513" w:rsidRPr="004B465C" w:rsidRDefault="004B2513" w:rsidP="004B2513">
            <w:pPr>
              <w:rPr>
                <w:rFonts w:asciiTheme="minorHAnsi" w:eastAsia="华文细黑" w:hAnsiTheme="minorHAnsi" w:cs="Arial"/>
                <w:b/>
                <w:bCs/>
                <w:color w:val="000000"/>
                <w:sz w:val="20"/>
                <w:szCs w:val="20"/>
              </w:rPr>
            </w:pPr>
            <w:r w:rsidRPr="004B465C">
              <w:rPr>
                <w:rFonts w:asciiTheme="minorHAnsi" w:eastAsia="华文细黑" w:hAnsiTheme="minorHAnsi" w:cs="Arial" w:hint="eastAsia"/>
                <w:b/>
                <w:bCs/>
                <w:color w:val="000000"/>
                <w:sz w:val="20"/>
                <w:szCs w:val="20"/>
              </w:rPr>
              <w:t>当年项目现金净流入</w:t>
            </w:r>
          </w:p>
        </w:tc>
        <w:tc>
          <w:tcPr>
            <w:tcW w:w="446" w:type="pct"/>
            <w:tcBorders>
              <w:top w:val="nil"/>
              <w:left w:val="nil"/>
              <w:bottom w:val="single" w:sz="4" w:space="0" w:color="auto"/>
              <w:right w:val="single" w:sz="4" w:space="0" w:color="auto"/>
            </w:tcBorders>
            <w:shd w:val="clear" w:color="auto" w:fill="auto"/>
            <w:noWrap/>
            <w:vAlign w:val="center"/>
            <w:hideMark/>
          </w:tcPr>
          <w:p w14:paraId="772A87FE" w14:textId="7E077120"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-2,014.50</w:t>
            </w:r>
          </w:p>
        </w:tc>
        <w:tc>
          <w:tcPr>
            <w:tcW w:w="446" w:type="pct"/>
            <w:tcBorders>
              <w:top w:val="nil"/>
              <w:left w:val="nil"/>
              <w:bottom w:val="single" w:sz="4" w:space="0" w:color="auto"/>
              <w:right w:val="single" w:sz="4" w:space="0" w:color="auto"/>
            </w:tcBorders>
            <w:shd w:val="clear" w:color="auto" w:fill="auto"/>
            <w:noWrap/>
            <w:vAlign w:val="center"/>
            <w:hideMark/>
          </w:tcPr>
          <w:p w14:paraId="35B02345" w14:textId="582396A7"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-1,160.56</w:t>
            </w:r>
          </w:p>
        </w:tc>
        <w:tc>
          <w:tcPr>
            <w:tcW w:w="446" w:type="pct"/>
            <w:tcBorders>
              <w:top w:val="nil"/>
              <w:left w:val="nil"/>
              <w:bottom w:val="single" w:sz="4" w:space="0" w:color="auto"/>
              <w:right w:val="single" w:sz="4" w:space="0" w:color="auto"/>
            </w:tcBorders>
            <w:shd w:val="clear" w:color="auto" w:fill="auto"/>
            <w:noWrap/>
            <w:vAlign w:val="center"/>
            <w:hideMark/>
          </w:tcPr>
          <w:p w14:paraId="4145DB9E" w14:textId="7C58614F"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6,787.36</w:t>
            </w:r>
          </w:p>
        </w:tc>
        <w:tc>
          <w:tcPr>
            <w:tcW w:w="446" w:type="pct"/>
            <w:tcBorders>
              <w:top w:val="nil"/>
              <w:left w:val="nil"/>
              <w:bottom w:val="single" w:sz="4" w:space="0" w:color="auto"/>
              <w:right w:val="single" w:sz="4" w:space="0" w:color="auto"/>
            </w:tcBorders>
            <w:shd w:val="clear" w:color="auto" w:fill="auto"/>
            <w:noWrap/>
            <w:vAlign w:val="center"/>
            <w:hideMark/>
          </w:tcPr>
          <w:p w14:paraId="3007162A" w14:textId="5F683FCA"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7,810.26</w:t>
            </w:r>
          </w:p>
        </w:tc>
        <w:tc>
          <w:tcPr>
            <w:tcW w:w="446" w:type="pct"/>
            <w:tcBorders>
              <w:top w:val="nil"/>
              <w:left w:val="nil"/>
              <w:bottom w:val="single" w:sz="4" w:space="0" w:color="auto"/>
              <w:right w:val="single" w:sz="4" w:space="0" w:color="auto"/>
            </w:tcBorders>
            <w:shd w:val="clear" w:color="auto" w:fill="auto"/>
            <w:noWrap/>
            <w:vAlign w:val="center"/>
            <w:hideMark/>
          </w:tcPr>
          <w:p w14:paraId="1AEA13F7" w14:textId="429BE086"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7,810.26</w:t>
            </w:r>
          </w:p>
        </w:tc>
        <w:tc>
          <w:tcPr>
            <w:tcW w:w="477" w:type="pct"/>
            <w:tcBorders>
              <w:top w:val="nil"/>
              <w:left w:val="nil"/>
              <w:bottom w:val="single" w:sz="4" w:space="0" w:color="auto"/>
              <w:right w:val="single" w:sz="4" w:space="0" w:color="auto"/>
            </w:tcBorders>
            <w:shd w:val="clear" w:color="auto" w:fill="auto"/>
            <w:noWrap/>
            <w:vAlign w:val="center"/>
            <w:hideMark/>
          </w:tcPr>
          <w:p w14:paraId="210CA1E1" w14:textId="5939C0FB"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-23,189.74</w:t>
            </w:r>
          </w:p>
        </w:tc>
        <w:tc>
          <w:tcPr>
            <w:tcW w:w="446" w:type="pct"/>
            <w:tcBorders>
              <w:top w:val="nil"/>
              <w:left w:val="nil"/>
              <w:bottom w:val="single" w:sz="4" w:space="0" w:color="auto"/>
              <w:right w:val="single" w:sz="4" w:space="0" w:color="auto"/>
            </w:tcBorders>
            <w:shd w:val="clear" w:color="auto" w:fill="auto"/>
            <w:noWrap/>
            <w:vAlign w:val="center"/>
            <w:hideMark/>
          </w:tcPr>
          <w:p w14:paraId="7CAB0296" w14:textId="6BD6EAD5"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8,269.44</w:t>
            </w:r>
          </w:p>
        </w:tc>
        <w:tc>
          <w:tcPr>
            <w:tcW w:w="446" w:type="pct"/>
            <w:tcBorders>
              <w:top w:val="nil"/>
              <w:left w:val="nil"/>
              <w:bottom w:val="single" w:sz="4" w:space="0" w:color="auto"/>
              <w:right w:val="single" w:sz="4" w:space="0" w:color="auto"/>
            </w:tcBorders>
            <w:shd w:val="clear" w:color="auto" w:fill="auto"/>
            <w:noWrap/>
            <w:vAlign w:val="center"/>
            <w:hideMark/>
          </w:tcPr>
          <w:p w14:paraId="478F2A21" w14:textId="0DF96B5E"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6,776.91</w:t>
            </w:r>
          </w:p>
        </w:tc>
        <w:tc>
          <w:tcPr>
            <w:tcW w:w="612" w:type="pct"/>
            <w:tcBorders>
              <w:top w:val="nil"/>
              <w:left w:val="nil"/>
              <w:bottom w:val="single" w:sz="4" w:space="0" w:color="auto"/>
              <w:right w:val="single" w:sz="4" w:space="0" w:color="auto"/>
            </w:tcBorders>
            <w:shd w:val="clear" w:color="auto" w:fill="auto"/>
            <w:noWrap/>
            <w:vAlign w:val="center"/>
            <w:hideMark/>
          </w:tcPr>
          <w:p w14:paraId="5A5014B8" w14:textId="3498AD58" w:rsidR="004B2513" w:rsidRPr="004B465C" w:rsidRDefault="004B2513" w:rsidP="004B465C">
            <w:pPr>
              <w:jc w:val="right"/>
              <w:rPr>
                <w:rFonts w:asciiTheme="minorHAnsi" w:eastAsia="华文细黑" w:hAnsiTheme="minorHAnsi" w:cs="Arial"/>
                <w:b/>
                <w:bCs/>
                <w:color w:val="000000"/>
                <w:sz w:val="20"/>
                <w:szCs w:val="20"/>
              </w:rPr>
            </w:pPr>
          </w:p>
        </w:tc>
      </w:tr>
      <w:tr w:rsidR="004B2513" w:rsidRPr="004B2513" w14:paraId="4D06F023" w14:textId="77777777" w:rsidTr="004B465C">
        <w:trPr>
          <w:trHeight w:val="312"/>
          <w:jc w:val="center"/>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14:paraId="6F5EFA44" w14:textId="68E3219C" w:rsidR="004B2513" w:rsidRPr="004B465C" w:rsidRDefault="004B2513" w:rsidP="004B2513">
            <w:pPr>
              <w:rPr>
                <w:rFonts w:asciiTheme="minorHAnsi" w:eastAsia="华文细黑" w:hAnsiTheme="minorHAnsi" w:cs="Arial"/>
                <w:b/>
                <w:bCs/>
                <w:color w:val="000000"/>
                <w:sz w:val="20"/>
                <w:szCs w:val="20"/>
              </w:rPr>
            </w:pPr>
            <w:r w:rsidRPr="004B465C">
              <w:rPr>
                <w:rFonts w:asciiTheme="minorHAnsi" w:eastAsia="华文细黑" w:hAnsiTheme="minorHAnsi" w:cs="Arial" w:hint="eastAsia"/>
                <w:b/>
                <w:bCs/>
                <w:color w:val="000000"/>
                <w:sz w:val="20"/>
                <w:szCs w:val="20"/>
              </w:rPr>
              <w:t>期末项目累计现金结存额</w:t>
            </w:r>
          </w:p>
        </w:tc>
        <w:tc>
          <w:tcPr>
            <w:tcW w:w="446" w:type="pct"/>
            <w:tcBorders>
              <w:top w:val="nil"/>
              <w:left w:val="nil"/>
              <w:bottom w:val="single" w:sz="4" w:space="0" w:color="auto"/>
              <w:right w:val="single" w:sz="4" w:space="0" w:color="auto"/>
            </w:tcBorders>
            <w:shd w:val="clear" w:color="auto" w:fill="auto"/>
            <w:noWrap/>
            <w:vAlign w:val="center"/>
            <w:hideMark/>
          </w:tcPr>
          <w:p w14:paraId="29B3F366" w14:textId="02635993"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33,087.62</w:t>
            </w:r>
          </w:p>
        </w:tc>
        <w:tc>
          <w:tcPr>
            <w:tcW w:w="446" w:type="pct"/>
            <w:tcBorders>
              <w:top w:val="nil"/>
              <w:left w:val="nil"/>
              <w:bottom w:val="single" w:sz="4" w:space="0" w:color="auto"/>
              <w:right w:val="single" w:sz="4" w:space="0" w:color="auto"/>
            </w:tcBorders>
            <w:shd w:val="clear" w:color="auto" w:fill="auto"/>
            <w:noWrap/>
            <w:vAlign w:val="center"/>
            <w:hideMark/>
          </w:tcPr>
          <w:p w14:paraId="778D4AB8" w14:textId="3CFE8958"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31,927.06</w:t>
            </w:r>
          </w:p>
        </w:tc>
        <w:tc>
          <w:tcPr>
            <w:tcW w:w="446" w:type="pct"/>
            <w:tcBorders>
              <w:top w:val="nil"/>
              <w:left w:val="nil"/>
              <w:bottom w:val="single" w:sz="4" w:space="0" w:color="auto"/>
              <w:right w:val="single" w:sz="4" w:space="0" w:color="auto"/>
            </w:tcBorders>
            <w:shd w:val="clear" w:color="auto" w:fill="auto"/>
            <w:noWrap/>
            <w:vAlign w:val="center"/>
            <w:hideMark/>
          </w:tcPr>
          <w:p w14:paraId="02787DAB" w14:textId="58DB7704"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38,714.42</w:t>
            </w:r>
          </w:p>
        </w:tc>
        <w:tc>
          <w:tcPr>
            <w:tcW w:w="446" w:type="pct"/>
            <w:tcBorders>
              <w:top w:val="nil"/>
              <w:left w:val="nil"/>
              <w:bottom w:val="single" w:sz="4" w:space="0" w:color="auto"/>
              <w:right w:val="single" w:sz="4" w:space="0" w:color="auto"/>
            </w:tcBorders>
            <w:shd w:val="clear" w:color="auto" w:fill="auto"/>
            <w:noWrap/>
            <w:vAlign w:val="center"/>
            <w:hideMark/>
          </w:tcPr>
          <w:p w14:paraId="6379B04F" w14:textId="0143EFEA"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46,524.68</w:t>
            </w:r>
          </w:p>
        </w:tc>
        <w:tc>
          <w:tcPr>
            <w:tcW w:w="446" w:type="pct"/>
            <w:tcBorders>
              <w:top w:val="nil"/>
              <w:left w:val="nil"/>
              <w:bottom w:val="single" w:sz="4" w:space="0" w:color="auto"/>
              <w:right w:val="single" w:sz="4" w:space="0" w:color="auto"/>
            </w:tcBorders>
            <w:shd w:val="clear" w:color="auto" w:fill="auto"/>
            <w:noWrap/>
            <w:vAlign w:val="center"/>
            <w:hideMark/>
          </w:tcPr>
          <w:p w14:paraId="4E6DA077" w14:textId="0A0D79B5"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54,334.94</w:t>
            </w:r>
          </w:p>
        </w:tc>
        <w:tc>
          <w:tcPr>
            <w:tcW w:w="477" w:type="pct"/>
            <w:tcBorders>
              <w:top w:val="nil"/>
              <w:left w:val="nil"/>
              <w:bottom w:val="single" w:sz="4" w:space="0" w:color="auto"/>
              <w:right w:val="single" w:sz="4" w:space="0" w:color="auto"/>
            </w:tcBorders>
            <w:shd w:val="clear" w:color="auto" w:fill="auto"/>
            <w:noWrap/>
            <w:vAlign w:val="center"/>
            <w:hideMark/>
          </w:tcPr>
          <w:p w14:paraId="5EB1D6EF" w14:textId="7DA4B9BD"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31,145.20</w:t>
            </w:r>
          </w:p>
        </w:tc>
        <w:tc>
          <w:tcPr>
            <w:tcW w:w="446" w:type="pct"/>
            <w:tcBorders>
              <w:top w:val="nil"/>
              <w:left w:val="nil"/>
              <w:bottom w:val="single" w:sz="4" w:space="0" w:color="auto"/>
              <w:right w:val="single" w:sz="4" w:space="0" w:color="auto"/>
            </w:tcBorders>
            <w:shd w:val="clear" w:color="auto" w:fill="auto"/>
            <w:noWrap/>
            <w:vAlign w:val="center"/>
            <w:hideMark/>
          </w:tcPr>
          <w:p w14:paraId="678F89A1" w14:textId="64FF1E57"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39,414.64</w:t>
            </w:r>
          </w:p>
        </w:tc>
        <w:tc>
          <w:tcPr>
            <w:tcW w:w="446" w:type="pct"/>
            <w:tcBorders>
              <w:top w:val="nil"/>
              <w:left w:val="nil"/>
              <w:bottom w:val="single" w:sz="4" w:space="0" w:color="auto"/>
              <w:right w:val="single" w:sz="4" w:space="0" w:color="auto"/>
            </w:tcBorders>
            <w:shd w:val="clear" w:color="auto" w:fill="auto"/>
            <w:noWrap/>
            <w:vAlign w:val="center"/>
            <w:hideMark/>
          </w:tcPr>
          <w:p w14:paraId="089FDA88" w14:textId="52E289A1" w:rsidR="004B2513" w:rsidRPr="004B465C" w:rsidRDefault="004B2513" w:rsidP="004B465C">
            <w:pPr>
              <w:jc w:val="right"/>
              <w:rPr>
                <w:rFonts w:asciiTheme="minorHAnsi" w:eastAsia="华文细黑" w:hAnsiTheme="minorHAnsi" w:cs="Arial"/>
                <w:b/>
                <w:bCs/>
                <w:color w:val="000000"/>
                <w:sz w:val="20"/>
                <w:szCs w:val="20"/>
              </w:rPr>
            </w:pPr>
            <w:r w:rsidRPr="004B465C">
              <w:rPr>
                <w:rFonts w:asciiTheme="minorHAnsi" w:eastAsia="华文细黑" w:hAnsiTheme="minorHAnsi" w:cs="Arial"/>
                <w:b/>
                <w:bCs/>
                <w:color w:val="000000"/>
                <w:sz w:val="20"/>
                <w:szCs w:val="20"/>
              </w:rPr>
              <w:t>46,191.55</w:t>
            </w:r>
          </w:p>
        </w:tc>
        <w:tc>
          <w:tcPr>
            <w:tcW w:w="612" w:type="pct"/>
            <w:tcBorders>
              <w:top w:val="nil"/>
              <w:left w:val="nil"/>
              <w:bottom w:val="single" w:sz="4" w:space="0" w:color="auto"/>
              <w:right w:val="single" w:sz="4" w:space="0" w:color="auto"/>
            </w:tcBorders>
            <w:shd w:val="clear" w:color="auto" w:fill="auto"/>
            <w:noWrap/>
            <w:vAlign w:val="center"/>
            <w:hideMark/>
          </w:tcPr>
          <w:p w14:paraId="778F3C3D" w14:textId="57C6BD4E" w:rsidR="004B2513" w:rsidRPr="004B465C" w:rsidRDefault="004B2513" w:rsidP="004B465C">
            <w:pPr>
              <w:jc w:val="right"/>
              <w:rPr>
                <w:rFonts w:asciiTheme="minorHAnsi" w:eastAsia="华文细黑" w:hAnsiTheme="minorHAnsi" w:cs="Arial"/>
                <w:b/>
                <w:bCs/>
                <w:color w:val="000000"/>
                <w:sz w:val="20"/>
                <w:szCs w:val="20"/>
              </w:rPr>
            </w:pPr>
          </w:p>
        </w:tc>
      </w:tr>
    </w:tbl>
    <w:p w14:paraId="3701E8A3" w14:textId="1B56F3D1" w:rsidR="00E20390" w:rsidRDefault="00E20390" w:rsidP="003C3C26">
      <w:pPr>
        <w:ind w:rightChars="-251" w:right="-602"/>
        <w:jc w:val="right"/>
        <w:rPr>
          <w:rFonts w:ascii="Verdana" w:eastAsia="华文细黑" w:hAnsi="Verdana" w:cs="Calibri"/>
          <w:color w:val="000000"/>
          <w:sz w:val="20"/>
          <w:szCs w:val="20"/>
        </w:rPr>
      </w:pPr>
    </w:p>
    <w:p w14:paraId="5E26491D" w14:textId="77777777" w:rsidR="004B2513" w:rsidRDefault="004B2513" w:rsidP="003C3C26">
      <w:pPr>
        <w:ind w:rightChars="-251" w:right="-602"/>
        <w:jc w:val="right"/>
        <w:rPr>
          <w:rFonts w:ascii="Verdana" w:eastAsia="华文细黑" w:hAnsi="Verdana" w:cs="Calibri"/>
          <w:color w:val="000000"/>
          <w:sz w:val="20"/>
          <w:szCs w:val="20"/>
        </w:rPr>
      </w:pPr>
    </w:p>
    <w:p w14:paraId="17FCED9A" w14:textId="3B048227" w:rsidR="000D1B9A" w:rsidRDefault="000D1B9A" w:rsidP="003C3C26">
      <w:pPr>
        <w:ind w:rightChars="-251" w:right="-602"/>
        <w:jc w:val="right"/>
        <w:rPr>
          <w:rFonts w:ascii="Verdana" w:eastAsia="华文细黑" w:hAnsi="Verdana" w:cs="Calibri"/>
          <w:color w:val="000000"/>
          <w:sz w:val="20"/>
          <w:szCs w:val="20"/>
        </w:rPr>
      </w:pPr>
    </w:p>
    <w:p w14:paraId="7599DC88" w14:textId="77777777" w:rsidR="00E20390" w:rsidRPr="007072FB" w:rsidRDefault="00E20390" w:rsidP="003C3C26">
      <w:pPr>
        <w:ind w:rightChars="-251" w:right="-602"/>
        <w:jc w:val="right"/>
        <w:rPr>
          <w:rFonts w:ascii="Verdana" w:eastAsia="华文细黑" w:hAnsi="Verdana" w:cs="Calibri"/>
          <w:color w:val="000000"/>
          <w:sz w:val="20"/>
          <w:szCs w:val="20"/>
        </w:rPr>
      </w:pPr>
    </w:p>
    <w:p w14:paraId="36D52B3D" w14:textId="77777777" w:rsidR="000D1B9A" w:rsidRPr="007072FB" w:rsidRDefault="000D1B9A">
      <w:pPr>
        <w:jc w:val="right"/>
        <w:rPr>
          <w:rFonts w:ascii="Verdana" w:eastAsia="华文细黑" w:hAnsi="Verdana" w:cs="Calibri"/>
          <w:color w:val="000000"/>
          <w:sz w:val="20"/>
          <w:szCs w:val="20"/>
        </w:rPr>
      </w:pPr>
    </w:p>
    <w:p w14:paraId="54734BCD" w14:textId="77777777" w:rsidR="000D1B9A" w:rsidRPr="007072FB" w:rsidRDefault="000D1B9A">
      <w:pPr>
        <w:ind w:right="-37"/>
        <w:jc w:val="right"/>
        <w:rPr>
          <w:rFonts w:ascii="Verdana" w:eastAsia="华文细黑" w:hAnsi="Verdana" w:cs="Calibri"/>
          <w:color w:val="000000"/>
          <w:sz w:val="20"/>
          <w:szCs w:val="20"/>
        </w:rPr>
      </w:pPr>
    </w:p>
    <w:p w14:paraId="662FE7F0" w14:textId="77777777" w:rsidR="000D1B9A" w:rsidRPr="007072FB" w:rsidRDefault="000D1B9A">
      <w:pPr>
        <w:spacing w:before="120" w:after="120" w:line="360" w:lineRule="auto"/>
        <w:ind w:right="960"/>
        <w:rPr>
          <w:rFonts w:ascii="Verdana" w:eastAsia="华文细黑" w:hAnsi="Verdana" w:cs="Calibri"/>
          <w:color w:val="000000"/>
        </w:rPr>
        <w:sectPr w:rsidR="000D1B9A" w:rsidRPr="007072FB">
          <w:footerReference w:type="default" r:id="rId18"/>
          <w:pgSz w:w="15840" w:h="12240" w:orient="landscape"/>
          <w:pgMar w:top="1800" w:right="1276" w:bottom="1800" w:left="1276" w:header="708" w:footer="850" w:gutter="0"/>
          <w:cols w:space="708"/>
          <w:docGrid w:linePitch="360"/>
        </w:sectPr>
      </w:pPr>
    </w:p>
    <w:p w14:paraId="56E1D4AD" w14:textId="77777777" w:rsidR="000D1B9A" w:rsidRPr="007072FB" w:rsidRDefault="00000000">
      <w:pPr>
        <w:spacing w:before="120" w:after="120" w:line="360" w:lineRule="auto"/>
        <w:ind w:firstLine="556"/>
        <w:jc w:val="both"/>
        <w:rPr>
          <w:rFonts w:ascii="Verdana" w:eastAsia="华文细黑" w:hAnsi="Verdana" w:cs="Calibri"/>
          <w:color w:val="000000"/>
        </w:rPr>
      </w:pPr>
      <w:r w:rsidRPr="007072FB">
        <w:rPr>
          <w:rFonts w:ascii="Verdana" w:eastAsia="华文细黑" w:hAnsi="Verdana" w:cs="Calibri"/>
          <w:color w:val="000000"/>
        </w:rPr>
        <w:lastRenderedPageBreak/>
        <w:t>基于以上投资计划、资金筹措安排，我们未发现建设期内所需建设资金存在缺口的情况，且项目每年资金余额为正值，满足项目自身收益还本付息的前提下，仍有富余资金，显示项目具备一定的盈利能力、偿债能力和</w:t>
      </w:r>
      <w:proofErr w:type="gramStart"/>
      <w:r w:rsidRPr="007072FB">
        <w:rPr>
          <w:rFonts w:ascii="Verdana" w:eastAsia="华文细黑" w:hAnsi="Verdana" w:cs="Calibri"/>
          <w:color w:val="000000"/>
        </w:rPr>
        <w:t>可</w:t>
      </w:r>
      <w:proofErr w:type="gramEnd"/>
      <w:r w:rsidRPr="007072FB">
        <w:rPr>
          <w:rFonts w:ascii="Verdana" w:eastAsia="华文细黑" w:hAnsi="Verdana" w:cs="Calibri"/>
          <w:color w:val="000000"/>
        </w:rPr>
        <w:t>持续性。</w:t>
      </w:r>
    </w:p>
    <w:p w14:paraId="30A8DFAB" w14:textId="77777777" w:rsidR="000D1B9A" w:rsidRPr="007072FB" w:rsidRDefault="00000000">
      <w:pPr>
        <w:spacing w:before="120" w:after="120" w:line="360" w:lineRule="auto"/>
        <w:jc w:val="both"/>
        <w:outlineLvl w:val="2"/>
        <w:rPr>
          <w:rFonts w:ascii="Verdana" w:eastAsia="华文细黑" w:hAnsi="Verdana" w:cs="Calibri"/>
          <w:b/>
          <w:color w:val="000000"/>
        </w:rPr>
      </w:pPr>
      <w:bookmarkStart w:id="72" w:name="_Toc135044149"/>
      <w:r w:rsidRPr="007072FB">
        <w:rPr>
          <w:rFonts w:ascii="Verdana" w:eastAsia="华文细黑" w:hAnsi="Verdana" w:cs="Calibri"/>
          <w:b/>
          <w:color w:val="000000"/>
        </w:rPr>
        <w:t>1.4</w:t>
      </w:r>
      <w:r w:rsidRPr="007072FB">
        <w:rPr>
          <w:rFonts w:ascii="Verdana" w:eastAsia="华文细黑" w:hAnsi="Verdana" w:cs="Calibri"/>
          <w:b/>
          <w:color w:val="000000"/>
        </w:rPr>
        <w:t>小结</w:t>
      </w:r>
      <w:bookmarkEnd w:id="72"/>
    </w:p>
    <w:p w14:paraId="59996F66" w14:textId="77777777" w:rsidR="000D1B9A" w:rsidRPr="007072FB" w:rsidRDefault="00000000">
      <w:pPr>
        <w:spacing w:before="120" w:after="120" w:line="360" w:lineRule="auto"/>
        <w:ind w:firstLine="556"/>
        <w:jc w:val="both"/>
        <w:rPr>
          <w:rFonts w:ascii="Verdana" w:eastAsia="华文细黑" w:hAnsi="Verdana" w:cs="Calibri"/>
          <w:color w:val="000000"/>
        </w:rPr>
      </w:pPr>
      <w:r w:rsidRPr="007072FB">
        <w:rPr>
          <w:rFonts w:ascii="Verdana" w:eastAsia="华文细黑" w:hAnsi="Verdana" w:cs="Calibri"/>
          <w:color w:val="000000"/>
        </w:rPr>
        <w:t>综上，在</w:t>
      </w:r>
      <w:proofErr w:type="gramStart"/>
      <w:r w:rsidRPr="007072FB">
        <w:rPr>
          <w:rFonts w:ascii="Verdana" w:eastAsia="华文细黑" w:hAnsi="Verdana" w:cs="Calibri"/>
          <w:color w:val="000000"/>
        </w:rPr>
        <w:t>本期专项</w:t>
      </w:r>
      <w:proofErr w:type="gramEnd"/>
      <w:r w:rsidRPr="007072FB">
        <w:rPr>
          <w:rFonts w:ascii="Verdana" w:eastAsia="华文细黑" w:hAnsi="Verdana" w:cs="Calibri"/>
          <w:color w:val="000000"/>
        </w:rPr>
        <w:t>债券存续期内，我们未注意到相关项目资金出现不能满足还本付息要求的情况。</w:t>
      </w:r>
    </w:p>
    <w:p w14:paraId="6E537272" w14:textId="18A19BA2" w:rsidR="000D1B9A" w:rsidRPr="007072FB" w:rsidRDefault="00000000">
      <w:pPr>
        <w:spacing w:before="120" w:after="120" w:line="360" w:lineRule="auto"/>
        <w:outlineLvl w:val="0"/>
        <w:rPr>
          <w:rFonts w:ascii="Verdana" w:eastAsia="华文细黑" w:hAnsi="Verdana" w:cs="Calibri"/>
          <w:b/>
          <w:sz w:val="28"/>
        </w:rPr>
      </w:pPr>
      <w:bookmarkStart w:id="73" w:name="_Toc135044150"/>
      <w:r w:rsidRPr="007072FB">
        <w:rPr>
          <w:rFonts w:ascii="Verdana" w:eastAsia="华文细黑" w:hAnsi="Verdana" w:cs="Calibri"/>
          <w:b/>
          <w:sz w:val="28"/>
        </w:rPr>
        <w:t>2.</w:t>
      </w:r>
      <w:r w:rsidRPr="007072FB">
        <w:rPr>
          <w:rFonts w:ascii="Verdana" w:eastAsia="华文细黑" w:hAnsi="Verdana" w:cs="Calibri"/>
          <w:b/>
          <w:sz w:val="28"/>
        </w:rPr>
        <w:t>资金稳定性</w:t>
      </w:r>
      <w:bookmarkEnd w:id="73"/>
    </w:p>
    <w:p w14:paraId="125A69D1" w14:textId="27AA5E34" w:rsidR="000D1B9A" w:rsidRDefault="003F192B">
      <w:pPr>
        <w:spacing w:before="120" w:after="120" w:line="360" w:lineRule="auto"/>
        <w:ind w:firstLine="454"/>
        <w:jc w:val="both"/>
        <w:rPr>
          <w:rFonts w:ascii="Verdana" w:eastAsia="华文细黑" w:hAnsi="Verdana" w:cs="Calibri"/>
          <w:lang w:val="en-GB"/>
        </w:rPr>
      </w:pPr>
      <w:r w:rsidRPr="007072FB">
        <w:rPr>
          <w:rFonts w:ascii="Verdana" w:eastAsia="华文细黑" w:hAnsi="Verdana" w:cs="Calibri"/>
          <w:lang w:val="en-GB"/>
        </w:rPr>
        <w:t>本项目专项债券还本付息以自来水销售收入为基础，债券存续期（</w:t>
      </w:r>
      <w:r w:rsidRPr="007072FB">
        <w:rPr>
          <w:rFonts w:ascii="Verdana" w:eastAsia="华文细黑" w:hAnsi="Verdana" w:cs="Calibri"/>
          <w:lang w:val="en-GB"/>
        </w:rPr>
        <w:t>202</w:t>
      </w:r>
      <w:r w:rsidR="00BD18AD">
        <w:rPr>
          <w:rFonts w:ascii="Verdana" w:eastAsia="华文细黑" w:hAnsi="Verdana" w:cs="Calibri" w:hint="eastAsia"/>
          <w:lang w:val="en-GB"/>
        </w:rPr>
        <w:t>3</w:t>
      </w:r>
      <w:r w:rsidRPr="007072FB">
        <w:rPr>
          <w:rFonts w:ascii="Verdana" w:eastAsia="华文细黑" w:hAnsi="Verdana" w:cs="Calibri"/>
          <w:lang w:val="en-GB"/>
        </w:rPr>
        <w:t>-203</w:t>
      </w:r>
      <w:r w:rsidR="00874AD3">
        <w:rPr>
          <w:rFonts w:ascii="Verdana" w:eastAsia="华文细黑" w:hAnsi="Verdana" w:cs="Calibri" w:hint="eastAsia"/>
          <w:lang w:val="en-GB"/>
        </w:rPr>
        <w:t>9</w:t>
      </w:r>
      <w:r w:rsidRPr="007072FB">
        <w:rPr>
          <w:rFonts w:ascii="Verdana" w:eastAsia="华文细黑" w:hAnsi="Verdana" w:cs="Calibri"/>
          <w:lang w:val="en-GB"/>
        </w:rPr>
        <w:t>年）内各年现金净流量，可覆盖债券存续期间各年利息及到期偿还本金的支出需求；且项目专项债券到期时，在偿还当年到期的债券本息后，仍有</w:t>
      </w:r>
      <w:r w:rsidR="0069105C" w:rsidRPr="0069105C">
        <w:rPr>
          <w:rFonts w:ascii="Verdana" w:eastAsia="华文细黑" w:hAnsi="Verdana" w:cs="Calibri"/>
          <w:lang w:val="en-GB"/>
        </w:rPr>
        <w:t>46,191.55</w:t>
      </w:r>
      <w:r w:rsidRPr="007072FB">
        <w:rPr>
          <w:rFonts w:ascii="Verdana" w:eastAsia="华文细黑" w:hAnsi="Verdana" w:cs="Calibri"/>
          <w:lang w:val="en-GB"/>
        </w:rPr>
        <w:t>万元的累计现金结余，本息覆盖率</w:t>
      </w:r>
      <w:r w:rsidRPr="007072FB">
        <w:rPr>
          <w:rFonts w:ascii="Verdana" w:eastAsia="华文细黑" w:hAnsi="Verdana" w:cs="Calibri"/>
          <w:lang w:val="en-GB"/>
        </w:rPr>
        <w:t>1.</w:t>
      </w:r>
      <w:r w:rsidR="00BD18AD">
        <w:rPr>
          <w:rFonts w:ascii="Verdana" w:eastAsia="华文细黑" w:hAnsi="Verdana" w:cs="Calibri" w:hint="eastAsia"/>
          <w:lang w:val="en-GB"/>
        </w:rPr>
        <w:t>50</w:t>
      </w:r>
      <w:r w:rsidRPr="007072FB">
        <w:rPr>
          <w:rStyle w:val="afe"/>
          <w:rFonts w:ascii="Verdana" w:eastAsia="华文细黑" w:hAnsi="Verdana" w:cs="Calibri"/>
          <w:lang w:val="en-GB"/>
        </w:rPr>
        <w:footnoteReference w:id="4"/>
      </w:r>
      <w:r w:rsidRPr="007072FB">
        <w:rPr>
          <w:rFonts w:ascii="Verdana" w:eastAsia="华文细黑" w:hAnsi="Verdana" w:cs="Calibri"/>
          <w:lang w:val="en-GB"/>
        </w:rPr>
        <w:t>。因此，本项目资金稳定性较可靠。项目债券存续期内资金留存情况如图</w:t>
      </w:r>
      <w:r w:rsidRPr="007072FB">
        <w:rPr>
          <w:rFonts w:ascii="Verdana" w:eastAsia="华文细黑" w:hAnsi="Verdana" w:cs="Calibri"/>
          <w:lang w:val="en-GB"/>
        </w:rPr>
        <w:t>1</w:t>
      </w:r>
      <w:r w:rsidRPr="007072FB">
        <w:rPr>
          <w:rFonts w:ascii="Verdana" w:eastAsia="华文细黑" w:hAnsi="Verdana" w:cs="Calibri"/>
          <w:lang w:val="en-GB"/>
        </w:rPr>
        <w:t>所示。</w:t>
      </w:r>
    </w:p>
    <w:p w14:paraId="47533C0D" w14:textId="47F9B89E" w:rsidR="00007253" w:rsidRDefault="00C14EC7" w:rsidP="0014152F">
      <w:pPr>
        <w:spacing w:before="120" w:after="120" w:line="360" w:lineRule="auto"/>
        <w:jc w:val="center"/>
        <w:rPr>
          <w:rFonts w:ascii="Verdana" w:eastAsia="华文细黑" w:hAnsi="Verdana" w:cs="Calibri"/>
          <w:lang w:val="en-GB"/>
        </w:rPr>
      </w:pPr>
      <w:r>
        <w:rPr>
          <w:noProof/>
        </w:rPr>
        <w:drawing>
          <wp:inline distT="0" distB="0" distL="0" distR="0" wp14:anchorId="29CBFB49" wp14:editId="187A4D42">
            <wp:extent cx="5486400" cy="2905125"/>
            <wp:effectExtent l="0" t="0" r="0" b="9525"/>
            <wp:docPr id="766174725" name="图表 1">
              <a:extLst xmlns:a="http://schemas.openxmlformats.org/drawingml/2006/main">
                <a:ext uri="{FF2B5EF4-FFF2-40B4-BE49-F238E27FC236}">
                  <a16:creationId xmlns:a16="http://schemas.microsoft.com/office/drawing/2014/main" id="{00000000-0008-0000-19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01F207C0" w14:textId="77777777" w:rsidR="000D1B9A" w:rsidRPr="007072FB" w:rsidRDefault="00000000" w:rsidP="0014152F">
      <w:pPr>
        <w:spacing w:before="120" w:after="120" w:line="360" w:lineRule="auto"/>
        <w:jc w:val="center"/>
        <w:rPr>
          <w:rFonts w:ascii="Verdana" w:eastAsia="华文细黑" w:hAnsi="Verdana" w:cs="Calibri"/>
          <w:b/>
        </w:rPr>
      </w:pPr>
      <w:r w:rsidRPr="007072FB">
        <w:rPr>
          <w:rFonts w:ascii="Verdana" w:eastAsia="华文细黑" w:hAnsi="Verdana" w:cs="Calibri"/>
          <w:b/>
        </w:rPr>
        <w:t>图</w:t>
      </w:r>
      <w:r w:rsidRPr="007072FB">
        <w:rPr>
          <w:rFonts w:ascii="Verdana" w:eastAsia="华文细黑" w:hAnsi="Verdana" w:cs="Calibri"/>
          <w:b/>
        </w:rPr>
        <w:t>1</w:t>
      </w:r>
      <w:r w:rsidRPr="007072FB">
        <w:rPr>
          <w:rFonts w:ascii="Verdana" w:eastAsia="华文细黑" w:hAnsi="Verdana" w:cs="Calibri"/>
          <w:b/>
        </w:rPr>
        <w:t>债券存续期内项目资金留存情况</w:t>
      </w:r>
    </w:p>
    <w:p w14:paraId="3D1FFEAE" w14:textId="77777777" w:rsidR="000D1B9A" w:rsidRPr="007072FB" w:rsidRDefault="00000000">
      <w:pPr>
        <w:spacing w:before="120" w:after="120" w:line="360" w:lineRule="auto"/>
        <w:ind w:firstLine="454"/>
        <w:jc w:val="both"/>
        <w:rPr>
          <w:rFonts w:ascii="Verdana" w:eastAsia="华文细黑" w:hAnsi="Verdana" w:cs="Calibri"/>
          <w:lang w:val="en-GB"/>
        </w:rPr>
      </w:pPr>
      <w:r w:rsidRPr="007072FB">
        <w:rPr>
          <w:rFonts w:ascii="Verdana" w:eastAsia="华文细黑" w:hAnsi="Verdana" w:cs="Calibri"/>
          <w:lang w:val="en-GB"/>
        </w:rPr>
        <w:lastRenderedPageBreak/>
        <w:t>综上，针对本项目在</w:t>
      </w:r>
      <w:proofErr w:type="gramStart"/>
      <w:r w:rsidRPr="007072FB">
        <w:rPr>
          <w:rFonts w:ascii="Verdana" w:eastAsia="华文细黑" w:hAnsi="Verdana" w:cs="Calibri"/>
          <w:lang w:val="en-GB"/>
        </w:rPr>
        <w:t>本期专项</w:t>
      </w:r>
      <w:proofErr w:type="gramEnd"/>
      <w:r w:rsidRPr="007072FB">
        <w:rPr>
          <w:rFonts w:ascii="Verdana" w:eastAsia="华文细黑" w:hAnsi="Verdana" w:cs="Calibri"/>
          <w:lang w:val="en-GB"/>
        </w:rPr>
        <w:t>债券存续期内还本付息资金的测算，我们未注意到可能对本项目资金稳定性产生重大影响的情况。</w:t>
      </w:r>
    </w:p>
    <w:p w14:paraId="0F7A4051" w14:textId="77777777" w:rsidR="000D1B9A" w:rsidRPr="007072FB" w:rsidRDefault="00000000">
      <w:pPr>
        <w:spacing w:before="120" w:after="120" w:line="360" w:lineRule="auto"/>
        <w:jc w:val="both"/>
        <w:outlineLvl w:val="0"/>
        <w:rPr>
          <w:rFonts w:ascii="Verdana" w:eastAsia="华文细黑" w:hAnsi="Verdana" w:cs="Calibri"/>
          <w:b/>
          <w:sz w:val="32"/>
          <w:szCs w:val="32"/>
        </w:rPr>
      </w:pPr>
      <w:bookmarkStart w:id="74" w:name="_Toc135044151"/>
      <w:r w:rsidRPr="007072FB">
        <w:rPr>
          <w:rFonts w:ascii="Verdana" w:eastAsia="华文细黑" w:hAnsi="Verdana" w:cs="Calibri"/>
          <w:b/>
          <w:sz w:val="32"/>
          <w:szCs w:val="32"/>
        </w:rPr>
        <w:t>四、风险分析</w:t>
      </w:r>
      <w:bookmarkEnd w:id="74"/>
    </w:p>
    <w:p w14:paraId="60022B81" w14:textId="066277D8" w:rsidR="000D1B9A" w:rsidRPr="007072FB" w:rsidRDefault="00000000">
      <w:pPr>
        <w:spacing w:before="120" w:after="120" w:line="360" w:lineRule="auto"/>
        <w:ind w:firstLine="454"/>
        <w:jc w:val="both"/>
        <w:rPr>
          <w:rFonts w:ascii="Verdana" w:eastAsia="华文细黑" w:hAnsi="Verdana" w:cs="Calibri"/>
          <w:b/>
          <w:color w:val="000000"/>
          <w:szCs w:val="20"/>
        </w:rPr>
      </w:pPr>
      <w:r w:rsidRPr="007072FB">
        <w:rPr>
          <w:rFonts w:ascii="Verdana" w:eastAsia="华文细黑" w:hAnsi="Verdana" w:cs="Calibri"/>
          <w:lang w:val="en-GB"/>
        </w:rPr>
        <w:t>根据本项目收益与融资平衡的压力测试结果，当项目的运营收益在</w:t>
      </w:r>
      <w:r w:rsidRPr="007072FB">
        <w:rPr>
          <w:rFonts w:ascii="Verdana" w:eastAsia="华文细黑" w:hAnsi="Verdana" w:cs="Calibri"/>
          <w:lang w:val="en-GB"/>
        </w:rPr>
        <w:t>±20%</w:t>
      </w:r>
      <w:r w:rsidRPr="007072FB">
        <w:rPr>
          <w:rFonts w:ascii="Verdana" w:eastAsia="华文细黑" w:hAnsi="Verdana" w:cs="Calibri"/>
          <w:lang w:val="en-GB"/>
        </w:rPr>
        <w:t>范围内变动的情况下，项目的债券本息覆盖率仍然＞</w:t>
      </w:r>
      <w:r w:rsidRPr="007072FB">
        <w:rPr>
          <w:rFonts w:ascii="Verdana" w:eastAsia="华文细黑" w:hAnsi="Verdana" w:cs="Calibri"/>
          <w:lang w:val="en-GB"/>
        </w:rPr>
        <w:t>1</w:t>
      </w:r>
      <w:r w:rsidRPr="007072FB">
        <w:rPr>
          <w:rFonts w:ascii="Verdana" w:eastAsia="华文细黑" w:hAnsi="Verdana" w:cs="Calibri"/>
          <w:lang w:val="en-GB"/>
        </w:rPr>
        <w:t>。因此，本项目的项目收益对债券还本付息保障性较高，项目可通过压力测试，还本付息资金具有一定的稳定性与风险抵抗能力。项目的压力测试情况详见下表</w:t>
      </w:r>
      <w:r w:rsidR="00913C47">
        <w:rPr>
          <w:rFonts w:ascii="Verdana" w:eastAsia="华文细黑" w:hAnsi="Verdana" w:cs="Calibri" w:hint="eastAsia"/>
          <w:lang w:val="en-GB"/>
        </w:rPr>
        <w:t>7</w:t>
      </w:r>
      <w:r w:rsidRPr="007072FB">
        <w:rPr>
          <w:rFonts w:ascii="Verdana" w:eastAsia="华文细黑" w:hAnsi="Verdana" w:cs="Calibri"/>
          <w:lang w:val="en-GB"/>
        </w:rPr>
        <w:t>：</w:t>
      </w:r>
    </w:p>
    <w:p w14:paraId="56AD2F4F" w14:textId="0A9C4A2D" w:rsidR="007F78F7" w:rsidRDefault="00000000">
      <w:pPr>
        <w:adjustRightInd w:val="0"/>
        <w:snapToGrid w:val="0"/>
        <w:spacing w:before="240" w:line="360" w:lineRule="auto"/>
        <w:ind w:firstLineChars="200" w:firstLine="480"/>
        <w:jc w:val="center"/>
        <w:rPr>
          <w:rFonts w:ascii="Verdana" w:eastAsia="华文细黑" w:hAnsi="Verdana" w:cs="Calibri"/>
          <w:b/>
          <w:kern w:val="2"/>
        </w:rPr>
      </w:pPr>
      <w:r w:rsidRPr="007072FB">
        <w:rPr>
          <w:rFonts w:ascii="Verdana" w:eastAsia="华文细黑" w:hAnsi="Verdana" w:cs="Calibri"/>
          <w:b/>
          <w:color w:val="000000"/>
          <w:szCs w:val="20"/>
        </w:rPr>
        <w:t>表</w:t>
      </w:r>
      <w:r w:rsidR="00913C47">
        <w:rPr>
          <w:rFonts w:ascii="Verdana" w:eastAsia="华文细黑" w:hAnsi="Verdana" w:cs="Calibri" w:hint="eastAsia"/>
          <w:b/>
          <w:color w:val="000000"/>
          <w:szCs w:val="20"/>
        </w:rPr>
        <w:t>7</w:t>
      </w:r>
      <w:r w:rsidRPr="007072FB">
        <w:rPr>
          <w:rFonts w:ascii="Verdana" w:eastAsia="华文细黑" w:hAnsi="Verdana" w:cs="Calibri"/>
          <w:b/>
          <w:kern w:val="2"/>
        </w:rPr>
        <w:t>项目压力测试表</w:t>
      </w:r>
    </w:p>
    <w:tbl>
      <w:tblPr>
        <w:tblW w:w="5253" w:type="pct"/>
        <w:jc w:val="center"/>
        <w:tblLook w:val="04A0" w:firstRow="1" w:lastRow="0" w:firstColumn="1" w:lastColumn="0" w:noHBand="0" w:noVBand="1"/>
      </w:tblPr>
      <w:tblGrid>
        <w:gridCol w:w="2419"/>
        <w:gridCol w:w="851"/>
        <w:gridCol w:w="851"/>
        <w:gridCol w:w="851"/>
        <w:gridCol w:w="709"/>
        <w:gridCol w:w="671"/>
        <w:gridCol w:w="671"/>
        <w:gridCol w:w="755"/>
        <w:gridCol w:w="755"/>
        <w:gridCol w:w="755"/>
      </w:tblGrid>
      <w:tr w:rsidR="007F78F7" w:rsidRPr="007F78F7" w14:paraId="4D1DC02E" w14:textId="77777777" w:rsidTr="004B465C">
        <w:trPr>
          <w:trHeight w:val="264"/>
          <w:jc w:val="center"/>
        </w:trPr>
        <w:tc>
          <w:tcPr>
            <w:tcW w:w="1353" w:type="pct"/>
            <w:tcBorders>
              <w:top w:val="single" w:sz="4" w:space="0" w:color="auto"/>
              <w:left w:val="single" w:sz="4" w:space="0" w:color="auto"/>
              <w:bottom w:val="single" w:sz="4" w:space="0" w:color="auto"/>
              <w:right w:val="single" w:sz="4" w:space="0" w:color="auto"/>
            </w:tcBorders>
            <w:shd w:val="clear" w:color="000000" w:fill="0070C0"/>
            <w:noWrap/>
            <w:vAlign w:val="center"/>
            <w:hideMark/>
          </w:tcPr>
          <w:p w14:paraId="22C60D82" w14:textId="77777777" w:rsidR="007F78F7" w:rsidRPr="004B465C" w:rsidRDefault="007F78F7" w:rsidP="004B465C">
            <w:pPr>
              <w:jc w:val="center"/>
              <w:rPr>
                <w:rFonts w:asciiTheme="minorHAnsi" w:eastAsia="华文细黑" w:hAnsiTheme="minorHAnsi" w:cs="Arial"/>
                <w:b/>
                <w:bCs/>
                <w:color w:val="FFFFFF"/>
                <w:sz w:val="20"/>
                <w:szCs w:val="20"/>
              </w:rPr>
            </w:pPr>
            <w:r w:rsidRPr="004B465C">
              <w:rPr>
                <w:rFonts w:asciiTheme="minorHAnsi" w:eastAsia="华文细黑" w:hAnsiTheme="minorHAnsi" w:cs="Arial" w:hint="eastAsia"/>
                <w:b/>
                <w:bCs/>
                <w:color w:val="FFFFFF"/>
                <w:sz w:val="20"/>
                <w:szCs w:val="20"/>
              </w:rPr>
              <w:t>资金覆盖率</w:t>
            </w:r>
            <w:r w:rsidRPr="004B465C">
              <w:rPr>
                <w:rFonts w:asciiTheme="minorHAnsi" w:eastAsia="华文细黑" w:hAnsiTheme="minorHAnsi" w:cs="Arial"/>
                <w:b/>
                <w:bCs/>
                <w:color w:val="FFFFFF"/>
                <w:sz w:val="20"/>
                <w:szCs w:val="20"/>
              </w:rPr>
              <w:t xml:space="preserve"> - </w:t>
            </w:r>
            <w:r w:rsidRPr="004B465C">
              <w:rPr>
                <w:rFonts w:asciiTheme="minorHAnsi" w:eastAsia="华文细黑" w:hAnsiTheme="minorHAnsi" w:cs="Arial" w:hint="eastAsia"/>
                <w:b/>
                <w:bCs/>
                <w:color w:val="FFFFFF"/>
                <w:sz w:val="20"/>
                <w:szCs w:val="20"/>
              </w:rPr>
              <w:t>压力测试</w:t>
            </w:r>
          </w:p>
          <w:p w14:paraId="4CFCC722" w14:textId="5A2D9BFD" w:rsidR="007F78F7" w:rsidRPr="004B465C" w:rsidRDefault="007F78F7" w:rsidP="004B465C">
            <w:pPr>
              <w:jc w:val="center"/>
              <w:rPr>
                <w:rFonts w:asciiTheme="minorHAnsi" w:eastAsia="华文细黑" w:hAnsiTheme="minorHAnsi" w:cs="Arial"/>
                <w:b/>
                <w:bCs/>
                <w:color w:val="FFFFFF"/>
                <w:sz w:val="20"/>
                <w:szCs w:val="20"/>
              </w:rPr>
            </w:pPr>
            <w:r w:rsidRPr="004B465C">
              <w:rPr>
                <w:rFonts w:asciiTheme="minorHAnsi" w:eastAsia="华文细黑" w:hAnsiTheme="minorHAnsi" w:cs="Arial" w:hint="eastAsia"/>
                <w:b/>
                <w:bCs/>
                <w:color w:val="FFFFFF"/>
                <w:sz w:val="20"/>
                <w:szCs w:val="20"/>
              </w:rPr>
              <w:t>（单因素敏感性分析）</w:t>
            </w:r>
          </w:p>
        </w:tc>
        <w:tc>
          <w:tcPr>
            <w:tcW w:w="420" w:type="pct"/>
            <w:tcBorders>
              <w:top w:val="single" w:sz="4" w:space="0" w:color="auto"/>
              <w:left w:val="nil"/>
              <w:bottom w:val="single" w:sz="4" w:space="0" w:color="auto"/>
              <w:right w:val="single" w:sz="4" w:space="0" w:color="auto"/>
            </w:tcBorders>
            <w:shd w:val="clear" w:color="000000" w:fill="0070C0"/>
            <w:noWrap/>
            <w:vAlign w:val="center"/>
            <w:hideMark/>
          </w:tcPr>
          <w:p w14:paraId="1870509A" w14:textId="77777777" w:rsidR="007F78F7" w:rsidRPr="004B465C" w:rsidRDefault="007F78F7" w:rsidP="004B465C">
            <w:pPr>
              <w:jc w:val="center"/>
              <w:rPr>
                <w:rFonts w:asciiTheme="minorHAnsi" w:eastAsia="华文细黑" w:hAnsiTheme="minorHAnsi" w:cs="Arial"/>
                <w:b/>
                <w:bCs/>
                <w:color w:val="FFFFFF"/>
                <w:sz w:val="20"/>
                <w:szCs w:val="20"/>
              </w:rPr>
            </w:pPr>
            <w:r w:rsidRPr="004B465C">
              <w:rPr>
                <w:rFonts w:asciiTheme="minorHAnsi" w:eastAsia="华文细黑" w:hAnsiTheme="minorHAnsi" w:cs="Arial"/>
                <w:b/>
                <w:bCs/>
                <w:color w:val="FFFFFF"/>
                <w:sz w:val="20"/>
                <w:szCs w:val="20"/>
              </w:rPr>
              <w:t>-20%</w:t>
            </w:r>
          </w:p>
        </w:tc>
        <w:tc>
          <w:tcPr>
            <w:tcW w:w="420" w:type="pct"/>
            <w:tcBorders>
              <w:top w:val="single" w:sz="4" w:space="0" w:color="auto"/>
              <w:left w:val="nil"/>
              <w:bottom w:val="single" w:sz="4" w:space="0" w:color="auto"/>
              <w:right w:val="single" w:sz="4" w:space="0" w:color="auto"/>
            </w:tcBorders>
            <w:shd w:val="clear" w:color="000000" w:fill="0070C0"/>
            <w:noWrap/>
            <w:vAlign w:val="center"/>
            <w:hideMark/>
          </w:tcPr>
          <w:p w14:paraId="27D0D0FB" w14:textId="77777777" w:rsidR="007F78F7" w:rsidRPr="004B465C" w:rsidRDefault="007F78F7" w:rsidP="004B465C">
            <w:pPr>
              <w:jc w:val="center"/>
              <w:rPr>
                <w:rFonts w:asciiTheme="minorHAnsi" w:eastAsia="华文细黑" w:hAnsiTheme="minorHAnsi" w:cs="Arial"/>
                <w:b/>
                <w:bCs/>
                <w:color w:val="FFFFFF"/>
                <w:sz w:val="20"/>
                <w:szCs w:val="20"/>
              </w:rPr>
            </w:pPr>
            <w:r w:rsidRPr="004B465C">
              <w:rPr>
                <w:rFonts w:asciiTheme="minorHAnsi" w:eastAsia="华文细黑" w:hAnsiTheme="minorHAnsi" w:cs="Arial"/>
                <w:b/>
                <w:bCs/>
                <w:color w:val="FFFFFF"/>
                <w:sz w:val="20"/>
                <w:szCs w:val="20"/>
              </w:rPr>
              <w:t>-15%</w:t>
            </w:r>
          </w:p>
        </w:tc>
        <w:tc>
          <w:tcPr>
            <w:tcW w:w="420" w:type="pct"/>
            <w:tcBorders>
              <w:top w:val="single" w:sz="4" w:space="0" w:color="auto"/>
              <w:left w:val="nil"/>
              <w:bottom w:val="single" w:sz="4" w:space="0" w:color="auto"/>
              <w:right w:val="single" w:sz="4" w:space="0" w:color="auto"/>
            </w:tcBorders>
            <w:shd w:val="clear" w:color="000000" w:fill="0070C0"/>
            <w:noWrap/>
            <w:vAlign w:val="center"/>
            <w:hideMark/>
          </w:tcPr>
          <w:p w14:paraId="10EDE708" w14:textId="77777777" w:rsidR="007F78F7" w:rsidRPr="004B465C" w:rsidRDefault="007F78F7" w:rsidP="004B465C">
            <w:pPr>
              <w:jc w:val="center"/>
              <w:rPr>
                <w:rFonts w:asciiTheme="minorHAnsi" w:eastAsia="华文细黑" w:hAnsiTheme="minorHAnsi" w:cs="Arial"/>
                <w:b/>
                <w:bCs/>
                <w:color w:val="FFFFFF"/>
                <w:sz w:val="20"/>
                <w:szCs w:val="20"/>
              </w:rPr>
            </w:pPr>
            <w:r w:rsidRPr="004B465C">
              <w:rPr>
                <w:rFonts w:asciiTheme="minorHAnsi" w:eastAsia="华文细黑" w:hAnsiTheme="minorHAnsi" w:cs="Arial"/>
                <w:b/>
                <w:bCs/>
                <w:color w:val="FFFFFF"/>
                <w:sz w:val="20"/>
                <w:szCs w:val="20"/>
              </w:rPr>
              <w:t>-10%</w:t>
            </w:r>
          </w:p>
        </w:tc>
        <w:tc>
          <w:tcPr>
            <w:tcW w:w="353" w:type="pct"/>
            <w:tcBorders>
              <w:top w:val="single" w:sz="4" w:space="0" w:color="auto"/>
              <w:left w:val="nil"/>
              <w:bottom w:val="single" w:sz="4" w:space="0" w:color="auto"/>
              <w:right w:val="single" w:sz="4" w:space="0" w:color="auto"/>
            </w:tcBorders>
            <w:shd w:val="clear" w:color="000000" w:fill="0070C0"/>
            <w:noWrap/>
            <w:vAlign w:val="center"/>
            <w:hideMark/>
          </w:tcPr>
          <w:p w14:paraId="11C4DA14" w14:textId="77777777" w:rsidR="007F78F7" w:rsidRPr="004B465C" w:rsidRDefault="007F78F7" w:rsidP="004B465C">
            <w:pPr>
              <w:jc w:val="center"/>
              <w:rPr>
                <w:rFonts w:asciiTheme="minorHAnsi" w:eastAsia="华文细黑" w:hAnsiTheme="minorHAnsi" w:cs="Arial"/>
                <w:b/>
                <w:bCs/>
                <w:color w:val="FFFFFF"/>
                <w:sz w:val="20"/>
                <w:szCs w:val="20"/>
              </w:rPr>
            </w:pPr>
            <w:r w:rsidRPr="004B465C">
              <w:rPr>
                <w:rFonts w:asciiTheme="minorHAnsi" w:eastAsia="华文细黑" w:hAnsiTheme="minorHAnsi" w:cs="Arial"/>
                <w:b/>
                <w:bCs/>
                <w:color w:val="FFFFFF"/>
                <w:sz w:val="20"/>
                <w:szCs w:val="20"/>
              </w:rPr>
              <w:t>-5%</w:t>
            </w:r>
          </w:p>
        </w:tc>
        <w:tc>
          <w:tcPr>
            <w:tcW w:w="335" w:type="pct"/>
            <w:tcBorders>
              <w:top w:val="single" w:sz="4" w:space="0" w:color="auto"/>
              <w:left w:val="nil"/>
              <w:bottom w:val="single" w:sz="4" w:space="0" w:color="auto"/>
              <w:right w:val="single" w:sz="4" w:space="0" w:color="auto"/>
            </w:tcBorders>
            <w:shd w:val="clear" w:color="000000" w:fill="0070C0"/>
            <w:noWrap/>
            <w:vAlign w:val="center"/>
            <w:hideMark/>
          </w:tcPr>
          <w:p w14:paraId="47EEDF45" w14:textId="77777777" w:rsidR="007F78F7" w:rsidRPr="004B465C" w:rsidRDefault="007F78F7" w:rsidP="004B465C">
            <w:pPr>
              <w:jc w:val="center"/>
              <w:rPr>
                <w:rFonts w:asciiTheme="minorHAnsi" w:eastAsia="华文细黑" w:hAnsiTheme="minorHAnsi" w:cs="Arial"/>
                <w:b/>
                <w:bCs/>
                <w:color w:val="FFFFFF"/>
                <w:sz w:val="20"/>
                <w:szCs w:val="20"/>
              </w:rPr>
            </w:pPr>
            <w:r w:rsidRPr="004B465C">
              <w:rPr>
                <w:rFonts w:asciiTheme="minorHAnsi" w:eastAsia="华文细黑" w:hAnsiTheme="minorHAnsi" w:cs="Arial"/>
                <w:b/>
                <w:bCs/>
                <w:color w:val="FFFFFF"/>
                <w:sz w:val="20"/>
                <w:szCs w:val="20"/>
              </w:rPr>
              <w:t>0%</w:t>
            </w:r>
          </w:p>
        </w:tc>
        <w:tc>
          <w:tcPr>
            <w:tcW w:w="335" w:type="pct"/>
            <w:tcBorders>
              <w:top w:val="single" w:sz="4" w:space="0" w:color="auto"/>
              <w:left w:val="nil"/>
              <w:bottom w:val="single" w:sz="4" w:space="0" w:color="auto"/>
              <w:right w:val="single" w:sz="4" w:space="0" w:color="auto"/>
            </w:tcBorders>
            <w:shd w:val="clear" w:color="000000" w:fill="0070C0"/>
            <w:noWrap/>
            <w:vAlign w:val="center"/>
            <w:hideMark/>
          </w:tcPr>
          <w:p w14:paraId="31F84823" w14:textId="77777777" w:rsidR="007F78F7" w:rsidRPr="004B465C" w:rsidRDefault="007F78F7" w:rsidP="004B465C">
            <w:pPr>
              <w:jc w:val="center"/>
              <w:rPr>
                <w:rFonts w:asciiTheme="minorHAnsi" w:eastAsia="华文细黑" w:hAnsiTheme="minorHAnsi" w:cs="Arial"/>
                <w:b/>
                <w:bCs/>
                <w:color w:val="FFFFFF"/>
                <w:sz w:val="20"/>
                <w:szCs w:val="20"/>
              </w:rPr>
            </w:pPr>
            <w:r w:rsidRPr="004B465C">
              <w:rPr>
                <w:rFonts w:asciiTheme="minorHAnsi" w:eastAsia="华文细黑" w:hAnsiTheme="minorHAnsi" w:cs="Arial"/>
                <w:b/>
                <w:bCs/>
                <w:color w:val="FFFFFF"/>
                <w:sz w:val="20"/>
                <w:szCs w:val="20"/>
              </w:rPr>
              <w:t>5%</w:t>
            </w:r>
          </w:p>
        </w:tc>
        <w:tc>
          <w:tcPr>
            <w:tcW w:w="374" w:type="pct"/>
            <w:tcBorders>
              <w:top w:val="single" w:sz="4" w:space="0" w:color="auto"/>
              <w:left w:val="nil"/>
              <w:bottom w:val="single" w:sz="4" w:space="0" w:color="auto"/>
              <w:right w:val="single" w:sz="4" w:space="0" w:color="auto"/>
            </w:tcBorders>
            <w:shd w:val="clear" w:color="000000" w:fill="0070C0"/>
            <w:noWrap/>
            <w:vAlign w:val="center"/>
            <w:hideMark/>
          </w:tcPr>
          <w:p w14:paraId="1CF43A0A" w14:textId="77777777" w:rsidR="007F78F7" w:rsidRPr="004B465C" w:rsidRDefault="007F78F7" w:rsidP="004B465C">
            <w:pPr>
              <w:jc w:val="center"/>
              <w:rPr>
                <w:rFonts w:asciiTheme="minorHAnsi" w:eastAsia="华文细黑" w:hAnsiTheme="minorHAnsi" w:cs="Arial"/>
                <w:b/>
                <w:bCs/>
                <w:color w:val="FFFFFF"/>
                <w:sz w:val="20"/>
                <w:szCs w:val="20"/>
              </w:rPr>
            </w:pPr>
            <w:r w:rsidRPr="004B465C">
              <w:rPr>
                <w:rFonts w:asciiTheme="minorHAnsi" w:eastAsia="华文细黑" w:hAnsiTheme="minorHAnsi" w:cs="Arial"/>
                <w:b/>
                <w:bCs/>
                <w:color w:val="FFFFFF"/>
                <w:sz w:val="20"/>
                <w:szCs w:val="20"/>
              </w:rPr>
              <w:t>10%</w:t>
            </w:r>
          </w:p>
        </w:tc>
        <w:tc>
          <w:tcPr>
            <w:tcW w:w="374" w:type="pct"/>
            <w:tcBorders>
              <w:top w:val="single" w:sz="4" w:space="0" w:color="auto"/>
              <w:left w:val="nil"/>
              <w:bottom w:val="single" w:sz="4" w:space="0" w:color="auto"/>
              <w:right w:val="single" w:sz="4" w:space="0" w:color="auto"/>
            </w:tcBorders>
            <w:shd w:val="clear" w:color="000000" w:fill="0070C0"/>
            <w:noWrap/>
            <w:vAlign w:val="center"/>
            <w:hideMark/>
          </w:tcPr>
          <w:p w14:paraId="60634482" w14:textId="77777777" w:rsidR="007F78F7" w:rsidRPr="004B465C" w:rsidRDefault="007F78F7" w:rsidP="004B465C">
            <w:pPr>
              <w:jc w:val="center"/>
              <w:rPr>
                <w:rFonts w:asciiTheme="minorHAnsi" w:eastAsia="华文细黑" w:hAnsiTheme="minorHAnsi" w:cs="Arial"/>
                <w:b/>
                <w:bCs/>
                <w:color w:val="FFFFFF"/>
                <w:sz w:val="20"/>
                <w:szCs w:val="20"/>
              </w:rPr>
            </w:pPr>
            <w:r w:rsidRPr="004B465C">
              <w:rPr>
                <w:rFonts w:asciiTheme="minorHAnsi" w:eastAsia="华文细黑" w:hAnsiTheme="minorHAnsi" w:cs="Arial"/>
                <w:b/>
                <w:bCs/>
                <w:color w:val="FFFFFF"/>
                <w:sz w:val="20"/>
                <w:szCs w:val="20"/>
              </w:rPr>
              <w:t>15%</w:t>
            </w:r>
          </w:p>
        </w:tc>
        <w:tc>
          <w:tcPr>
            <w:tcW w:w="615" w:type="pct"/>
            <w:tcBorders>
              <w:top w:val="single" w:sz="4" w:space="0" w:color="auto"/>
              <w:left w:val="nil"/>
              <w:bottom w:val="single" w:sz="4" w:space="0" w:color="auto"/>
              <w:right w:val="single" w:sz="4" w:space="0" w:color="auto"/>
            </w:tcBorders>
            <w:shd w:val="clear" w:color="000000" w:fill="0070C0"/>
            <w:noWrap/>
            <w:vAlign w:val="center"/>
            <w:hideMark/>
          </w:tcPr>
          <w:p w14:paraId="5B4815E1" w14:textId="77777777" w:rsidR="007F78F7" w:rsidRPr="004B465C" w:rsidRDefault="007F78F7" w:rsidP="004B465C">
            <w:pPr>
              <w:jc w:val="center"/>
              <w:rPr>
                <w:rFonts w:asciiTheme="minorHAnsi" w:eastAsia="华文细黑" w:hAnsiTheme="minorHAnsi" w:cs="Arial"/>
                <w:b/>
                <w:bCs/>
                <w:color w:val="FFFFFF"/>
                <w:sz w:val="20"/>
                <w:szCs w:val="20"/>
              </w:rPr>
            </w:pPr>
            <w:r w:rsidRPr="004B465C">
              <w:rPr>
                <w:rFonts w:asciiTheme="minorHAnsi" w:eastAsia="华文细黑" w:hAnsiTheme="minorHAnsi" w:cs="Arial"/>
                <w:b/>
                <w:bCs/>
                <w:color w:val="FFFFFF"/>
                <w:sz w:val="20"/>
                <w:szCs w:val="20"/>
              </w:rPr>
              <w:t>20%</w:t>
            </w:r>
          </w:p>
        </w:tc>
      </w:tr>
      <w:tr w:rsidR="007F78F7" w:rsidRPr="007F78F7" w14:paraId="3DE95351" w14:textId="77777777" w:rsidTr="004B465C">
        <w:trPr>
          <w:trHeight w:val="264"/>
          <w:jc w:val="center"/>
        </w:trPr>
        <w:tc>
          <w:tcPr>
            <w:tcW w:w="1353" w:type="pct"/>
            <w:tcBorders>
              <w:top w:val="nil"/>
              <w:left w:val="single" w:sz="4" w:space="0" w:color="auto"/>
              <w:bottom w:val="single" w:sz="4" w:space="0" w:color="auto"/>
              <w:right w:val="single" w:sz="4" w:space="0" w:color="auto"/>
            </w:tcBorders>
            <w:shd w:val="clear" w:color="000000" w:fill="D3DFEE"/>
            <w:noWrap/>
            <w:vAlign w:val="center"/>
            <w:hideMark/>
          </w:tcPr>
          <w:p w14:paraId="71CCF386" w14:textId="77777777" w:rsidR="007F78F7" w:rsidRPr="004B465C" w:rsidRDefault="007F78F7" w:rsidP="004B465C">
            <w:pPr>
              <w:rPr>
                <w:rFonts w:asciiTheme="minorHAnsi" w:eastAsia="华文细黑" w:hAnsiTheme="minorHAnsi" w:cs="Arial"/>
                <w:b/>
                <w:bCs/>
                <w:color w:val="000000"/>
                <w:sz w:val="20"/>
                <w:szCs w:val="20"/>
              </w:rPr>
            </w:pPr>
            <w:r w:rsidRPr="004B465C">
              <w:rPr>
                <w:rFonts w:asciiTheme="minorHAnsi" w:eastAsia="华文细黑" w:hAnsiTheme="minorHAnsi" w:cs="Arial" w:hint="eastAsia"/>
                <w:b/>
                <w:bCs/>
                <w:color w:val="000000"/>
                <w:sz w:val="20"/>
                <w:szCs w:val="20"/>
              </w:rPr>
              <w:t>收入变动情况敏感性分析</w:t>
            </w:r>
          </w:p>
        </w:tc>
        <w:tc>
          <w:tcPr>
            <w:tcW w:w="420" w:type="pct"/>
            <w:tcBorders>
              <w:top w:val="nil"/>
              <w:left w:val="nil"/>
              <w:bottom w:val="single" w:sz="4" w:space="0" w:color="auto"/>
              <w:right w:val="single" w:sz="4" w:space="0" w:color="auto"/>
            </w:tcBorders>
            <w:shd w:val="clear" w:color="000000" w:fill="D3DFEE"/>
            <w:noWrap/>
            <w:vAlign w:val="center"/>
            <w:hideMark/>
          </w:tcPr>
          <w:p w14:paraId="5EA7439B" w14:textId="1411F866" w:rsidR="007F78F7" w:rsidRPr="004B465C" w:rsidRDefault="007F78F7" w:rsidP="004B465C">
            <w:pPr>
              <w:jc w:val="right"/>
              <w:rPr>
                <w:rFonts w:asciiTheme="minorHAnsi" w:eastAsia="华文细黑" w:hAnsiTheme="minorHAnsi" w:cs="Arial"/>
                <w:b/>
                <w:bCs/>
                <w:color w:val="000000"/>
                <w:sz w:val="20"/>
                <w:szCs w:val="20"/>
              </w:rPr>
            </w:pPr>
          </w:p>
        </w:tc>
        <w:tc>
          <w:tcPr>
            <w:tcW w:w="420" w:type="pct"/>
            <w:tcBorders>
              <w:top w:val="nil"/>
              <w:left w:val="nil"/>
              <w:bottom w:val="single" w:sz="4" w:space="0" w:color="auto"/>
              <w:right w:val="single" w:sz="4" w:space="0" w:color="auto"/>
            </w:tcBorders>
            <w:shd w:val="clear" w:color="000000" w:fill="D3DFEE"/>
            <w:noWrap/>
            <w:vAlign w:val="center"/>
            <w:hideMark/>
          </w:tcPr>
          <w:p w14:paraId="51D968C0" w14:textId="10731A9A" w:rsidR="007F78F7" w:rsidRPr="004B465C" w:rsidRDefault="007F78F7" w:rsidP="004B465C">
            <w:pPr>
              <w:jc w:val="right"/>
              <w:rPr>
                <w:rFonts w:asciiTheme="minorHAnsi" w:eastAsia="华文细黑" w:hAnsiTheme="minorHAnsi" w:cs="Arial"/>
                <w:b/>
                <w:bCs/>
                <w:color w:val="000000"/>
                <w:sz w:val="20"/>
                <w:szCs w:val="20"/>
              </w:rPr>
            </w:pPr>
          </w:p>
        </w:tc>
        <w:tc>
          <w:tcPr>
            <w:tcW w:w="420" w:type="pct"/>
            <w:tcBorders>
              <w:top w:val="nil"/>
              <w:left w:val="nil"/>
              <w:bottom w:val="single" w:sz="4" w:space="0" w:color="auto"/>
              <w:right w:val="single" w:sz="4" w:space="0" w:color="auto"/>
            </w:tcBorders>
            <w:shd w:val="clear" w:color="000000" w:fill="D3DFEE"/>
            <w:noWrap/>
            <w:vAlign w:val="center"/>
            <w:hideMark/>
          </w:tcPr>
          <w:p w14:paraId="1C94669E" w14:textId="2AD04C9B" w:rsidR="007F78F7" w:rsidRPr="004B465C" w:rsidRDefault="007F78F7" w:rsidP="004B465C">
            <w:pPr>
              <w:jc w:val="right"/>
              <w:rPr>
                <w:rFonts w:asciiTheme="minorHAnsi" w:eastAsia="华文细黑" w:hAnsiTheme="minorHAnsi" w:cs="Arial"/>
                <w:b/>
                <w:bCs/>
                <w:color w:val="000000"/>
                <w:sz w:val="20"/>
                <w:szCs w:val="20"/>
              </w:rPr>
            </w:pPr>
          </w:p>
        </w:tc>
        <w:tc>
          <w:tcPr>
            <w:tcW w:w="353" w:type="pct"/>
            <w:tcBorders>
              <w:top w:val="nil"/>
              <w:left w:val="nil"/>
              <w:bottom w:val="single" w:sz="4" w:space="0" w:color="auto"/>
              <w:right w:val="single" w:sz="4" w:space="0" w:color="auto"/>
            </w:tcBorders>
            <w:shd w:val="clear" w:color="000000" w:fill="D3DFEE"/>
            <w:noWrap/>
            <w:vAlign w:val="center"/>
            <w:hideMark/>
          </w:tcPr>
          <w:p w14:paraId="04317F36" w14:textId="141794CD" w:rsidR="007F78F7" w:rsidRPr="004B465C" w:rsidRDefault="007F78F7" w:rsidP="004B465C">
            <w:pPr>
              <w:jc w:val="right"/>
              <w:rPr>
                <w:rFonts w:asciiTheme="minorHAnsi" w:eastAsia="华文细黑" w:hAnsiTheme="minorHAnsi" w:cs="Arial"/>
                <w:b/>
                <w:bCs/>
                <w:color w:val="000000"/>
                <w:sz w:val="20"/>
                <w:szCs w:val="20"/>
              </w:rPr>
            </w:pPr>
          </w:p>
        </w:tc>
        <w:tc>
          <w:tcPr>
            <w:tcW w:w="335" w:type="pct"/>
            <w:tcBorders>
              <w:top w:val="nil"/>
              <w:left w:val="nil"/>
              <w:bottom w:val="single" w:sz="4" w:space="0" w:color="auto"/>
              <w:right w:val="single" w:sz="4" w:space="0" w:color="auto"/>
            </w:tcBorders>
            <w:shd w:val="clear" w:color="000000" w:fill="D3DFEE"/>
            <w:noWrap/>
            <w:vAlign w:val="center"/>
            <w:hideMark/>
          </w:tcPr>
          <w:p w14:paraId="79E9FCDA" w14:textId="67B442AE" w:rsidR="007F78F7" w:rsidRPr="004B465C" w:rsidRDefault="007F78F7" w:rsidP="004B465C">
            <w:pPr>
              <w:jc w:val="right"/>
              <w:rPr>
                <w:rFonts w:asciiTheme="minorHAnsi" w:eastAsia="华文细黑" w:hAnsiTheme="minorHAnsi" w:cs="Arial"/>
                <w:b/>
                <w:bCs/>
                <w:color w:val="000000"/>
                <w:sz w:val="20"/>
                <w:szCs w:val="20"/>
              </w:rPr>
            </w:pPr>
          </w:p>
        </w:tc>
        <w:tc>
          <w:tcPr>
            <w:tcW w:w="335" w:type="pct"/>
            <w:tcBorders>
              <w:top w:val="nil"/>
              <w:left w:val="nil"/>
              <w:bottom w:val="single" w:sz="4" w:space="0" w:color="auto"/>
              <w:right w:val="single" w:sz="4" w:space="0" w:color="auto"/>
            </w:tcBorders>
            <w:shd w:val="clear" w:color="000000" w:fill="D3DFEE"/>
            <w:noWrap/>
            <w:vAlign w:val="center"/>
            <w:hideMark/>
          </w:tcPr>
          <w:p w14:paraId="209626EA" w14:textId="096EEE9F" w:rsidR="007F78F7" w:rsidRPr="004B465C" w:rsidRDefault="007F78F7" w:rsidP="004B465C">
            <w:pPr>
              <w:jc w:val="right"/>
              <w:rPr>
                <w:rFonts w:asciiTheme="minorHAnsi" w:eastAsia="华文细黑" w:hAnsiTheme="minorHAnsi" w:cs="Arial"/>
                <w:b/>
                <w:bCs/>
                <w:color w:val="000000"/>
                <w:sz w:val="20"/>
                <w:szCs w:val="20"/>
              </w:rPr>
            </w:pPr>
          </w:p>
        </w:tc>
        <w:tc>
          <w:tcPr>
            <w:tcW w:w="374" w:type="pct"/>
            <w:tcBorders>
              <w:top w:val="nil"/>
              <w:left w:val="nil"/>
              <w:bottom w:val="single" w:sz="4" w:space="0" w:color="auto"/>
              <w:right w:val="single" w:sz="4" w:space="0" w:color="auto"/>
            </w:tcBorders>
            <w:shd w:val="clear" w:color="000000" w:fill="D3DFEE"/>
            <w:noWrap/>
            <w:vAlign w:val="center"/>
            <w:hideMark/>
          </w:tcPr>
          <w:p w14:paraId="3B5FB241" w14:textId="7FC50254" w:rsidR="007F78F7" w:rsidRPr="004B465C" w:rsidRDefault="007F78F7" w:rsidP="004B465C">
            <w:pPr>
              <w:jc w:val="right"/>
              <w:rPr>
                <w:rFonts w:asciiTheme="minorHAnsi" w:eastAsia="华文细黑" w:hAnsiTheme="minorHAnsi" w:cs="Arial"/>
                <w:b/>
                <w:bCs/>
                <w:color w:val="000000"/>
                <w:sz w:val="20"/>
                <w:szCs w:val="20"/>
              </w:rPr>
            </w:pPr>
          </w:p>
        </w:tc>
        <w:tc>
          <w:tcPr>
            <w:tcW w:w="374" w:type="pct"/>
            <w:tcBorders>
              <w:top w:val="nil"/>
              <w:left w:val="nil"/>
              <w:bottom w:val="single" w:sz="4" w:space="0" w:color="auto"/>
              <w:right w:val="single" w:sz="4" w:space="0" w:color="auto"/>
            </w:tcBorders>
            <w:shd w:val="clear" w:color="000000" w:fill="D3DFEE"/>
            <w:noWrap/>
            <w:vAlign w:val="center"/>
            <w:hideMark/>
          </w:tcPr>
          <w:p w14:paraId="614639E2" w14:textId="43F7560A" w:rsidR="007F78F7" w:rsidRPr="004B465C" w:rsidRDefault="007F78F7" w:rsidP="004B465C">
            <w:pPr>
              <w:jc w:val="right"/>
              <w:rPr>
                <w:rFonts w:asciiTheme="minorHAnsi" w:eastAsia="华文细黑" w:hAnsiTheme="minorHAnsi" w:cs="Arial"/>
                <w:b/>
                <w:bCs/>
                <w:color w:val="000000"/>
                <w:sz w:val="20"/>
                <w:szCs w:val="20"/>
              </w:rPr>
            </w:pPr>
          </w:p>
        </w:tc>
        <w:tc>
          <w:tcPr>
            <w:tcW w:w="615" w:type="pct"/>
            <w:tcBorders>
              <w:top w:val="nil"/>
              <w:left w:val="nil"/>
              <w:bottom w:val="single" w:sz="4" w:space="0" w:color="auto"/>
              <w:right w:val="single" w:sz="4" w:space="0" w:color="auto"/>
            </w:tcBorders>
            <w:shd w:val="clear" w:color="000000" w:fill="D3DFEE"/>
            <w:noWrap/>
            <w:vAlign w:val="center"/>
            <w:hideMark/>
          </w:tcPr>
          <w:p w14:paraId="5E277DDF" w14:textId="02AC8B7D" w:rsidR="007F78F7" w:rsidRPr="004B465C" w:rsidRDefault="007F78F7" w:rsidP="004B465C">
            <w:pPr>
              <w:jc w:val="right"/>
              <w:rPr>
                <w:rFonts w:asciiTheme="minorHAnsi" w:eastAsia="华文细黑" w:hAnsiTheme="minorHAnsi" w:cs="Arial"/>
                <w:b/>
                <w:bCs/>
                <w:color w:val="000000"/>
                <w:sz w:val="20"/>
                <w:szCs w:val="20"/>
              </w:rPr>
            </w:pPr>
          </w:p>
        </w:tc>
      </w:tr>
      <w:tr w:rsidR="007F78F7" w:rsidRPr="007F78F7" w14:paraId="0913D0F2" w14:textId="77777777" w:rsidTr="004B465C">
        <w:trPr>
          <w:trHeight w:val="264"/>
          <w:jc w:val="center"/>
        </w:trPr>
        <w:tc>
          <w:tcPr>
            <w:tcW w:w="1353" w:type="pct"/>
            <w:tcBorders>
              <w:top w:val="nil"/>
              <w:left w:val="single" w:sz="4" w:space="0" w:color="auto"/>
              <w:bottom w:val="single" w:sz="4" w:space="0" w:color="auto"/>
              <w:right w:val="single" w:sz="4" w:space="0" w:color="auto"/>
            </w:tcBorders>
            <w:shd w:val="clear" w:color="auto" w:fill="auto"/>
            <w:noWrap/>
            <w:vAlign w:val="center"/>
            <w:hideMark/>
          </w:tcPr>
          <w:p w14:paraId="352F7E63" w14:textId="306FE353" w:rsidR="007F78F7" w:rsidRPr="004B465C" w:rsidRDefault="007F78F7" w:rsidP="007F78F7">
            <w:pPr>
              <w:rPr>
                <w:rFonts w:asciiTheme="minorHAnsi" w:eastAsia="华文细黑" w:hAnsiTheme="minorHAnsi" w:cs="Arial"/>
                <w:color w:val="000000"/>
                <w:sz w:val="20"/>
                <w:szCs w:val="20"/>
              </w:rPr>
            </w:pPr>
            <w:r w:rsidRPr="004B465C">
              <w:rPr>
                <w:rFonts w:asciiTheme="minorHAnsi" w:eastAsia="华文细黑" w:hAnsiTheme="minorHAnsi" w:cs="Arial" w:hint="eastAsia"/>
                <w:color w:val="000000"/>
                <w:sz w:val="20"/>
                <w:szCs w:val="20"/>
              </w:rPr>
              <w:t>债券本金资金覆盖率</w:t>
            </w:r>
          </w:p>
        </w:tc>
        <w:tc>
          <w:tcPr>
            <w:tcW w:w="420" w:type="pct"/>
            <w:tcBorders>
              <w:top w:val="nil"/>
              <w:left w:val="nil"/>
              <w:bottom w:val="single" w:sz="4" w:space="0" w:color="auto"/>
              <w:right w:val="single" w:sz="4" w:space="0" w:color="auto"/>
            </w:tcBorders>
            <w:shd w:val="clear" w:color="auto" w:fill="auto"/>
            <w:noWrap/>
            <w:vAlign w:val="center"/>
            <w:hideMark/>
          </w:tcPr>
          <w:p w14:paraId="7A107221" w14:textId="4F70A160" w:rsidR="007F78F7" w:rsidRPr="004B465C" w:rsidRDefault="007F78F7" w:rsidP="007F78F7">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1.29</w:t>
            </w:r>
          </w:p>
        </w:tc>
        <w:tc>
          <w:tcPr>
            <w:tcW w:w="420" w:type="pct"/>
            <w:tcBorders>
              <w:top w:val="nil"/>
              <w:left w:val="nil"/>
              <w:bottom w:val="single" w:sz="4" w:space="0" w:color="auto"/>
              <w:right w:val="single" w:sz="4" w:space="0" w:color="auto"/>
            </w:tcBorders>
            <w:shd w:val="clear" w:color="auto" w:fill="auto"/>
            <w:noWrap/>
            <w:vAlign w:val="center"/>
            <w:hideMark/>
          </w:tcPr>
          <w:p w14:paraId="63F757D8" w14:textId="2EEBAF86" w:rsidR="007F78F7" w:rsidRPr="004B465C" w:rsidRDefault="007F78F7" w:rsidP="007F78F7">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1.38</w:t>
            </w:r>
          </w:p>
        </w:tc>
        <w:tc>
          <w:tcPr>
            <w:tcW w:w="420" w:type="pct"/>
            <w:tcBorders>
              <w:top w:val="nil"/>
              <w:left w:val="nil"/>
              <w:bottom w:val="single" w:sz="4" w:space="0" w:color="auto"/>
              <w:right w:val="single" w:sz="4" w:space="0" w:color="auto"/>
            </w:tcBorders>
            <w:shd w:val="clear" w:color="auto" w:fill="auto"/>
            <w:noWrap/>
            <w:vAlign w:val="center"/>
            <w:hideMark/>
          </w:tcPr>
          <w:p w14:paraId="22F1DD0D" w14:textId="22B984BE" w:rsidR="007F78F7" w:rsidRPr="004B465C" w:rsidRDefault="007F78F7" w:rsidP="007F78F7">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1.48</w:t>
            </w:r>
          </w:p>
        </w:tc>
        <w:tc>
          <w:tcPr>
            <w:tcW w:w="353" w:type="pct"/>
            <w:tcBorders>
              <w:top w:val="nil"/>
              <w:left w:val="nil"/>
              <w:bottom w:val="single" w:sz="4" w:space="0" w:color="auto"/>
              <w:right w:val="single" w:sz="4" w:space="0" w:color="auto"/>
            </w:tcBorders>
            <w:shd w:val="clear" w:color="auto" w:fill="auto"/>
            <w:noWrap/>
            <w:vAlign w:val="center"/>
            <w:hideMark/>
          </w:tcPr>
          <w:p w14:paraId="33B9FE8F" w14:textId="4226376D" w:rsidR="007F78F7" w:rsidRPr="004B465C" w:rsidRDefault="007F78F7" w:rsidP="007F78F7">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1.58</w:t>
            </w:r>
          </w:p>
        </w:tc>
        <w:tc>
          <w:tcPr>
            <w:tcW w:w="335" w:type="pct"/>
            <w:tcBorders>
              <w:top w:val="nil"/>
              <w:left w:val="nil"/>
              <w:bottom w:val="single" w:sz="4" w:space="0" w:color="auto"/>
              <w:right w:val="single" w:sz="4" w:space="0" w:color="auto"/>
            </w:tcBorders>
            <w:shd w:val="clear" w:color="auto" w:fill="auto"/>
            <w:noWrap/>
            <w:vAlign w:val="center"/>
            <w:hideMark/>
          </w:tcPr>
          <w:p w14:paraId="01678EB1" w14:textId="4F293899" w:rsidR="007F78F7" w:rsidRPr="004B465C" w:rsidRDefault="007F78F7" w:rsidP="007F78F7">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1.67</w:t>
            </w:r>
          </w:p>
        </w:tc>
        <w:tc>
          <w:tcPr>
            <w:tcW w:w="335" w:type="pct"/>
            <w:tcBorders>
              <w:top w:val="nil"/>
              <w:left w:val="nil"/>
              <w:bottom w:val="single" w:sz="4" w:space="0" w:color="auto"/>
              <w:right w:val="single" w:sz="4" w:space="0" w:color="auto"/>
            </w:tcBorders>
            <w:shd w:val="clear" w:color="auto" w:fill="auto"/>
            <w:noWrap/>
            <w:vAlign w:val="center"/>
            <w:hideMark/>
          </w:tcPr>
          <w:p w14:paraId="7CD9CE80" w14:textId="7B6D23EA" w:rsidR="007F78F7" w:rsidRPr="004B465C" w:rsidRDefault="007F78F7" w:rsidP="007F78F7">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1.77</w:t>
            </w:r>
          </w:p>
        </w:tc>
        <w:tc>
          <w:tcPr>
            <w:tcW w:w="374" w:type="pct"/>
            <w:tcBorders>
              <w:top w:val="nil"/>
              <w:left w:val="nil"/>
              <w:bottom w:val="single" w:sz="4" w:space="0" w:color="auto"/>
              <w:right w:val="single" w:sz="4" w:space="0" w:color="auto"/>
            </w:tcBorders>
            <w:shd w:val="clear" w:color="auto" w:fill="auto"/>
            <w:noWrap/>
            <w:vAlign w:val="center"/>
            <w:hideMark/>
          </w:tcPr>
          <w:p w14:paraId="4AD3F92A" w14:textId="2507BC26" w:rsidR="007F78F7" w:rsidRPr="004B465C" w:rsidRDefault="007F78F7" w:rsidP="007F78F7">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1.87</w:t>
            </w:r>
          </w:p>
        </w:tc>
        <w:tc>
          <w:tcPr>
            <w:tcW w:w="374" w:type="pct"/>
            <w:tcBorders>
              <w:top w:val="nil"/>
              <w:left w:val="nil"/>
              <w:bottom w:val="single" w:sz="4" w:space="0" w:color="auto"/>
              <w:right w:val="single" w:sz="4" w:space="0" w:color="auto"/>
            </w:tcBorders>
            <w:shd w:val="clear" w:color="auto" w:fill="auto"/>
            <w:noWrap/>
            <w:vAlign w:val="center"/>
            <w:hideMark/>
          </w:tcPr>
          <w:p w14:paraId="410A9E98" w14:textId="34C9C643" w:rsidR="007F78F7" w:rsidRPr="004B465C" w:rsidRDefault="007F78F7" w:rsidP="007F78F7">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1.96</w:t>
            </w:r>
          </w:p>
        </w:tc>
        <w:tc>
          <w:tcPr>
            <w:tcW w:w="615" w:type="pct"/>
            <w:tcBorders>
              <w:top w:val="nil"/>
              <w:left w:val="nil"/>
              <w:bottom w:val="single" w:sz="4" w:space="0" w:color="auto"/>
              <w:right w:val="single" w:sz="4" w:space="0" w:color="auto"/>
            </w:tcBorders>
            <w:shd w:val="clear" w:color="auto" w:fill="auto"/>
            <w:noWrap/>
            <w:vAlign w:val="center"/>
            <w:hideMark/>
          </w:tcPr>
          <w:p w14:paraId="4F72FAFE" w14:textId="3BC7C49E" w:rsidR="007F78F7" w:rsidRPr="004B465C" w:rsidRDefault="007F78F7" w:rsidP="007F78F7">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2.06</w:t>
            </w:r>
          </w:p>
        </w:tc>
      </w:tr>
      <w:tr w:rsidR="007F78F7" w:rsidRPr="007F78F7" w14:paraId="00CA2BE2" w14:textId="77777777" w:rsidTr="004B465C">
        <w:trPr>
          <w:trHeight w:val="264"/>
          <w:jc w:val="center"/>
        </w:trPr>
        <w:tc>
          <w:tcPr>
            <w:tcW w:w="1353" w:type="pct"/>
            <w:tcBorders>
              <w:top w:val="nil"/>
              <w:left w:val="single" w:sz="4" w:space="0" w:color="auto"/>
              <w:bottom w:val="single" w:sz="4" w:space="0" w:color="auto"/>
              <w:right w:val="single" w:sz="4" w:space="0" w:color="auto"/>
            </w:tcBorders>
            <w:shd w:val="clear" w:color="auto" w:fill="auto"/>
            <w:noWrap/>
            <w:vAlign w:val="center"/>
            <w:hideMark/>
          </w:tcPr>
          <w:p w14:paraId="58439241" w14:textId="79CEB7CA" w:rsidR="007F78F7" w:rsidRPr="004B465C" w:rsidRDefault="007F78F7" w:rsidP="007F78F7">
            <w:pPr>
              <w:rPr>
                <w:rFonts w:asciiTheme="minorHAnsi" w:eastAsia="华文细黑" w:hAnsiTheme="minorHAnsi" w:cs="Arial"/>
                <w:color w:val="000000"/>
                <w:sz w:val="20"/>
                <w:szCs w:val="20"/>
              </w:rPr>
            </w:pPr>
            <w:r w:rsidRPr="004B465C">
              <w:rPr>
                <w:rFonts w:asciiTheme="minorHAnsi" w:eastAsia="华文细黑" w:hAnsiTheme="minorHAnsi" w:cs="Arial" w:hint="eastAsia"/>
                <w:color w:val="000000"/>
                <w:sz w:val="20"/>
                <w:szCs w:val="20"/>
              </w:rPr>
              <w:t>债券本息资金覆盖率</w:t>
            </w:r>
          </w:p>
        </w:tc>
        <w:tc>
          <w:tcPr>
            <w:tcW w:w="420" w:type="pct"/>
            <w:tcBorders>
              <w:top w:val="nil"/>
              <w:left w:val="nil"/>
              <w:bottom w:val="single" w:sz="4" w:space="0" w:color="auto"/>
              <w:right w:val="single" w:sz="4" w:space="0" w:color="auto"/>
            </w:tcBorders>
            <w:shd w:val="clear" w:color="auto" w:fill="auto"/>
            <w:noWrap/>
            <w:vAlign w:val="center"/>
            <w:hideMark/>
          </w:tcPr>
          <w:p w14:paraId="334EA640" w14:textId="0A6DAAC9" w:rsidR="007F78F7" w:rsidRPr="004B465C" w:rsidRDefault="007F78F7" w:rsidP="007F78F7">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1.22</w:t>
            </w:r>
          </w:p>
        </w:tc>
        <w:tc>
          <w:tcPr>
            <w:tcW w:w="420" w:type="pct"/>
            <w:tcBorders>
              <w:top w:val="nil"/>
              <w:left w:val="nil"/>
              <w:bottom w:val="single" w:sz="4" w:space="0" w:color="auto"/>
              <w:right w:val="single" w:sz="4" w:space="0" w:color="auto"/>
            </w:tcBorders>
            <w:shd w:val="clear" w:color="auto" w:fill="auto"/>
            <w:noWrap/>
            <w:vAlign w:val="center"/>
            <w:hideMark/>
          </w:tcPr>
          <w:p w14:paraId="6B4CA889" w14:textId="2C3D91CD" w:rsidR="007F78F7" w:rsidRPr="004B465C" w:rsidRDefault="007F78F7" w:rsidP="007F78F7">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1.29</w:t>
            </w:r>
          </w:p>
        </w:tc>
        <w:tc>
          <w:tcPr>
            <w:tcW w:w="420" w:type="pct"/>
            <w:tcBorders>
              <w:top w:val="nil"/>
              <w:left w:val="nil"/>
              <w:bottom w:val="single" w:sz="4" w:space="0" w:color="auto"/>
              <w:right w:val="single" w:sz="4" w:space="0" w:color="auto"/>
            </w:tcBorders>
            <w:shd w:val="clear" w:color="auto" w:fill="auto"/>
            <w:noWrap/>
            <w:vAlign w:val="center"/>
            <w:hideMark/>
          </w:tcPr>
          <w:p w14:paraId="76EA6DF4" w14:textId="510F2277" w:rsidR="007F78F7" w:rsidRPr="004B465C" w:rsidRDefault="007F78F7" w:rsidP="007F78F7">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1.36</w:t>
            </w:r>
          </w:p>
        </w:tc>
        <w:tc>
          <w:tcPr>
            <w:tcW w:w="353" w:type="pct"/>
            <w:tcBorders>
              <w:top w:val="nil"/>
              <w:left w:val="nil"/>
              <w:bottom w:val="single" w:sz="4" w:space="0" w:color="auto"/>
              <w:right w:val="single" w:sz="4" w:space="0" w:color="auto"/>
            </w:tcBorders>
            <w:shd w:val="clear" w:color="auto" w:fill="auto"/>
            <w:noWrap/>
            <w:vAlign w:val="center"/>
            <w:hideMark/>
          </w:tcPr>
          <w:p w14:paraId="1A890FEC" w14:textId="4CAA0386" w:rsidR="007F78F7" w:rsidRPr="004B465C" w:rsidRDefault="007F78F7" w:rsidP="007F78F7">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1.43</w:t>
            </w:r>
          </w:p>
        </w:tc>
        <w:tc>
          <w:tcPr>
            <w:tcW w:w="335" w:type="pct"/>
            <w:tcBorders>
              <w:top w:val="nil"/>
              <w:left w:val="nil"/>
              <w:bottom w:val="single" w:sz="4" w:space="0" w:color="auto"/>
              <w:right w:val="single" w:sz="4" w:space="0" w:color="auto"/>
            </w:tcBorders>
            <w:shd w:val="clear" w:color="auto" w:fill="auto"/>
            <w:noWrap/>
            <w:vAlign w:val="center"/>
            <w:hideMark/>
          </w:tcPr>
          <w:p w14:paraId="173481F7" w14:textId="315612C8" w:rsidR="007F78F7" w:rsidRPr="004B465C" w:rsidRDefault="007F78F7" w:rsidP="007F78F7">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1.50</w:t>
            </w:r>
          </w:p>
        </w:tc>
        <w:tc>
          <w:tcPr>
            <w:tcW w:w="335" w:type="pct"/>
            <w:tcBorders>
              <w:top w:val="nil"/>
              <w:left w:val="nil"/>
              <w:bottom w:val="single" w:sz="4" w:space="0" w:color="auto"/>
              <w:right w:val="single" w:sz="4" w:space="0" w:color="auto"/>
            </w:tcBorders>
            <w:shd w:val="clear" w:color="auto" w:fill="auto"/>
            <w:noWrap/>
            <w:vAlign w:val="center"/>
            <w:hideMark/>
          </w:tcPr>
          <w:p w14:paraId="546AA12B" w14:textId="4E1B5A19" w:rsidR="007F78F7" w:rsidRPr="004B465C" w:rsidRDefault="007F78F7" w:rsidP="007F78F7">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1.58</w:t>
            </w:r>
          </w:p>
        </w:tc>
        <w:tc>
          <w:tcPr>
            <w:tcW w:w="374" w:type="pct"/>
            <w:tcBorders>
              <w:top w:val="nil"/>
              <w:left w:val="nil"/>
              <w:bottom w:val="single" w:sz="4" w:space="0" w:color="auto"/>
              <w:right w:val="single" w:sz="4" w:space="0" w:color="auto"/>
            </w:tcBorders>
            <w:shd w:val="clear" w:color="auto" w:fill="auto"/>
            <w:noWrap/>
            <w:vAlign w:val="center"/>
            <w:hideMark/>
          </w:tcPr>
          <w:p w14:paraId="19B5D08E" w14:textId="0A5C49F3" w:rsidR="007F78F7" w:rsidRPr="004B465C" w:rsidRDefault="007F78F7" w:rsidP="007F78F7">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1.65</w:t>
            </w:r>
          </w:p>
        </w:tc>
        <w:tc>
          <w:tcPr>
            <w:tcW w:w="374" w:type="pct"/>
            <w:tcBorders>
              <w:top w:val="nil"/>
              <w:left w:val="nil"/>
              <w:bottom w:val="single" w:sz="4" w:space="0" w:color="auto"/>
              <w:right w:val="single" w:sz="4" w:space="0" w:color="auto"/>
            </w:tcBorders>
            <w:shd w:val="clear" w:color="auto" w:fill="auto"/>
            <w:noWrap/>
            <w:vAlign w:val="center"/>
            <w:hideMark/>
          </w:tcPr>
          <w:p w14:paraId="6F0E9A92" w14:textId="118DB317" w:rsidR="007F78F7" w:rsidRPr="004B465C" w:rsidRDefault="007F78F7" w:rsidP="007F78F7">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1.72</w:t>
            </w:r>
          </w:p>
        </w:tc>
        <w:tc>
          <w:tcPr>
            <w:tcW w:w="615" w:type="pct"/>
            <w:tcBorders>
              <w:top w:val="nil"/>
              <w:left w:val="nil"/>
              <w:bottom w:val="single" w:sz="4" w:space="0" w:color="auto"/>
              <w:right w:val="single" w:sz="4" w:space="0" w:color="auto"/>
            </w:tcBorders>
            <w:shd w:val="clear" w:color="auto" w:fill="auto"/>
            <w:noWrap/>
            <w:vAlign w:val="center"/>
            <w:hideMark/>
          </w:tcPr>
          <w:p w14:paraId="1E4CBBB7" w14:textId="041C3B99" w:rsidR="007F78F7" w:rsidRPr="004B465C" w:rsidRDefault="007F78F7" w:rsidP="007F78F7">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1.79</w:t>
            </w:r>
          </w:p>
        </w:tc>
      </w:tr>
      <w:tr w:rsidR="007F78F7" w:rsidRPr="007F78F7" w14:paraId="09CE3897" w14:textId="77777777" w:rsidTr="004B465C">
        <w:trPr>
          <w:trHeight w:val="264"/>
          <w:jc w:val="center"/>
        </w:trPr>
        <w:tc>
          <w:tcPr>
            <w:tcW w:w="1353" w:type="pct"/>
            <w:tcBorders>
              <w:top w:val="nil"/>
              <w:left w:val="single" w:sz="4" w:space="0" w:color="auto"/>
              <w:bottom w:val="single" w:sz="4" w:space="0" w:color="auto"/>
              <w:right w:val="single" w:sz="4" w:space="0" w:color="auto"/>
            </w:tcBorders>
            <w:shd w:val="clear" w:color="auto" w:fill="auto"/>
            <w:noWrap/>
            <w:vAlign w:val="center"/>
            <w:hideMark/>
          </w:tcPr>
          <w:p w14:paraId="67022CC1" w14:textId="77777777" w:rsidR="007F78F7" w:rsidRPr="004B465C" w:rsidRDefault="007F78F7" w:rsidP="007F78F7">
            <w:pPr>
              <w:rPr>
                <w:rFonts w:asciiTheme="minorHAnsi" w:eastAsia="华文细黑" w:hAnsiTheme="minorHAnsi" w:cs="宋体"/>
                <w:sz w:val="20"/>
                <w:szCs w:val="20"/>
              </w:rPr>
            </w:pPr>
            <w:r w:rsidRPr="004B465C">
              <w:rPr>
                <w:rFonts w:asciiTheme="minorHAnsi" w:eastAsia="华文细黑" w:hAnsiTheme="minorHAnsi" w:cs="宋体" w:hint="eastAsia"/>
                <w:sz w:val="20"/>
                <w:szCs w:val="20"/>
              </w:rPr>
              <w:t>债券本息资金覆盖倍数</w:t>
            </w:r>
          </w:p>
        </w:tc>
        <w:tc>
          <w:tcPr>
            <w:tcW w:w="420" w:type="pct"/>
            <w:tcBorders>
              <w:top w:val="nil"/>
              <w:left w:val="nil"/>
              <w:bottom w:val="single" w:sz="4" w:space="0" w:color="auto"/>
              <w:right w:val="single" w:sz="4" w:space="0" w:color="auto"/>
            </w:tcBorders>
            <w:shd w:val="clear" w:color="auto" w:fill="auto"/>
            <w:noWrap/>
            <w:vAlign w:val="center"/>
            <w:hideMark/>
          </w:tcPr>
          <w:p w14:paraId="597BD608" w14:textId="4A26FF93" w:rsidR="007F78F7" w:rsidRPr="004B465C" w:rsidRDefault="007F78F7" w:rsidP="007F78F7">
            <w:pPr>
              <w:jc w:val="right"/>
              <w:rPr>
                <w:rFonts w:asciiTheme="minorHAnsi" w:eastAsia="华文细黑" w:hAnsiTheme="minorHAnsi" w:cs="Arial"/>
                <w:sz w:val="20"/>
                <w:szCs w:val="20"/>
              </w:rPr>
            </w:pPr>
            <w:r w:rsidRPr="004B465C">
              <w:rPr>
                <w:rFonts w:asciiTheme="minorHAnsi" w:eastAsia="华文细黑" w:hAnsiTheme="minorHAnsi" w:cs="Arial"/>
                <w:sz w:val="20"/>
                <w:szCs w:val="20"/>
              </w:rPr>
              <w:t>1.16</w:t>
            </w:r>
          </w:p>
        </w:tc>
        <w:tc>
          <w:tcPr>
            <w:tcW w:w="420" w:type="pct"/>
            <w:tcBorders>
              <w:top w:val="nil"/>
              <w:left w:val="nil"/>
              <w:bottom w:val="single" w:sz="4" w:space="0" w:color="auto"/>
              <w:right w:val="single" w:sz="4" w:space="0" w:color="auto"/>
            </w:tcBorders>
            <w:shd w:val="clear" w:color="auto" w:fill="auto"/>
            <w:noWrap/>
            <w:vAlign w:val="center"/>
            <w:hideMark/>
          </w:tcPr>
          <w:p w14:paraId="7ECEE81D" w14:textId="55277D92" w:rsidR="007F78F7" w:rsidRPr="004B465C" w:rsidRDefault="007F78F7" w:rsidP="007F78F7">
            <w:pPr>
              <w:jc w:val="right"/>
              <w:rPr>
                <w:rFonts w:asciiTheme="minorHAnsi" w:eastAsia="华文细黑" w:hAnsiTheme="minorHAnsi" w:cs="Arial"/>
                <w:sz w:val="20"/>
                <w:szCs w:val="20"/>
              </w:rPr>
            </w:pPr>
            <w:r w:rsidRPr="004B465C">
              <w:rPr>
                <w:rFonts w:asciiTheme="minorHAnsi" w:eastAsia="华文细黑" w:hAnsiTheme="minorHAnsi" w:cs="Arial"/>
                <w:sz w:val="20"/>
                <w:szCs w:val="20"/>
              </w:rPr>
              <w:t>1.23</w:t>
            </w:r>
          </w:p>
        </w:tc>
        <w:tc>
          <w:tcPr>
            <w:tcW w:w="420" w:type="pct"/>
            <w:tcBorders>
              <w:top w:val="nil"/>
              <w:left w:val="nil"/>
              <w:bottom w:val="single" w:sz="4" w:space="0" w:color="auto"/>
              <w:right w:val="single" w:sz="4" w:space="0" w:color="auto"/>
            </w:tcBorders>
            <w:shd w:val="clear" w:color="auto" w:fill="auto"/>
            <w:noWrap/>
            <w:vAlign w:val="center"/>
            <w:hideMark/>
          </w:tcPr>
          <w:p w14:paraId="62ABA05C" w14:textId="67093BB4" w:rsidR="007F78F7" w:rsidRPr="004B465C" w:rsidRDefault="007F78F7" w:rsidP="007F78F7">
            <w:pPr>
              <w:jc w:val="right"/>
              <w:rPr>
                <w:rFonts w:asciiTheme="minorHAnsi" w:eastAsia="华文细黑" w:hAnsiTheme="minorHAnsi" w:cs="Arial"/>
                <w:sz w:val="20"/>
                <w:szCs w:val="20"/>
              </w:rPr>
            </w:pPr>
            <w:r w:rsidRPr="004B465C">
              <w:rPr>
                <w:rFonts w:asciiTheme="minorHAnsi" w:eastAsia="华文细黑" w:hAnsiTheme="minorHAnsi" w:cs="Arial"/>
                <w:sz w:val="20"/>
                <w:szCs w:val="20"/>
              </w:rPr>
              <w:t>1.30</w:t>
            </w:r>
          </w:p>
        </w:tc>
        <w:tc>
          <w:tcPr>
            <w:tcW w:w="353" w:type="pct"/>
            <w:tcBorders>
              <w:top w:val="nil"/>
              <w:left w:val="nil"/>
              <w:bottom w:val="single" w:sz="4" w:space="0" w:color="auto"/>
              <w:right w:val="single" w:sz="4" w:space="0" w:color="auto"/>
            </w:tcBorders>
            <w:shd w:val="clear" w:color="auto" w:fill="auto"/>
            <w:noWrap/>
            <w:vAlign w:val="center"/>
            <w:hideMark/>
          </w:tcPr>
          <w:p w14:paraId="6D33E520" w14:textId="68445748" w:rsidR="007F78F7" w:rsidRPr="004B465C" w:rsidRDefault="007F78F7" w:rsidP="007F78F7">
            <w:pPr>
              <w:jc w:val="right"/>
              <w:rPr>
                <w:rFonts w:asciiTheme="minorHAnsi" w:eastAsia="华文细黑" w:hAnsiTheme="minorHAnsi" w:cs="Arial"/>
                <w:sz w:val="20"/>
                <w:szCs w:val="20"/>
              </w:rPr>
            </w:pPr>
            <w:r w:rsidRPr="004B465C">
              <w:rPr>
                <w:rFonts w:asciiTheme="minorHAnsi" w:eastAsia="华文细黑" w:hAnsiTheme="minorHAnsi" w:cs="Arial"/>
                <w:sz w:val="20"/>
                <w:szCs w:val="20"/>
              </w:rPr>
              <w:t>1.37</w:t>
            </w:r>
          </w:p>
        </w:tc>
        <w:tc>
          <w:tcPr>
            <w:tcW w:w="335" w:type="pct"/>
            <w:tcBorders>
              <w:top w:val="nil"/>
              <w:left w:val="nil"/>
              <w:bottom w:val="single" w:sz="4" w:space="0" w:color="auto"/>
              <w:right w:val="single" w:sz="4" w:space="0" w:color="auto"/>
            </w:tcBorders>
            <w:shd w:val="clear" w:color="auto" w:fill="auto"/>
            <w:noWrap/>
            <w:vAlign w:val="center"/>
            <w:hideMark/>
          </w:tcPr>
          <w:p w14:paraId="7AE9F88E" w14:textId="20D55EC4" w:rsidR="007F78F7" w:rsidRPr="004B465C" w:rsidRDefault="007F78F7" w:rsidP="007F78F7">
            <w:pPr>
              <w:jc w:val="right"/>
              <w:rPr>
                <w:rFonts w:asciiTheme="minorHAnsi" w:eastAsia="华文细黑" w:hAnsiTheme="minorHAnsi" w:cs="Arial"/>
                <w:sz w:val="20"/>
                <w:szCs w:val="20"/>
              </w:rPr>
            </w:pPr>
            <w:r w:rsidRPr="004B465C">
              <w:rPr>
                <w:rFonts w:asciiTheme="minorHAnsi" w:eastAsia="华文细黑" w:hAnsiTheme="minorHAnsi" w:cs="Arial"/>
                <w:sz w:val="20"/>
                <w:szCs w:val="20"/>
              </w:rPr>
              <w:t>1.45</w:t>
            </w:r>
          </w:p>
        </w:tc>
        <w:tc>
          <w:tcPr>
            <w:tcW w:w="335" w:type="pct"/>
            <w:tcBorders>
              <w:top w:val="nil"/>
              <w:left w:val="nil"/>
              <w:bottom w:val="single" w:sz="4" w:space="0" w:color="auto"/>
              <w:right w:val="single" w:sz="4" w:space="0" w:color="auto"/>
            </w:tcBorders>
            <w:shd w:val="clear" w:color="auto" w:fill="auto"/>
            <w:noWrap/>
            <w:vAlign w:val="center"/>
            <w:hideMark/>
          </w:tcPr>
          <w:p w14:paraId="7CF14A35" w14:textId="34A1577A" w:rsidR="007F78F7" w:rsidRPr="004B465C" w:rsidRDefault="007F78F7" w:rsidP="007F78F7">
            <w:pPr>
              <w:jc w:val="right"/>
              <w:rPr>
                <w:rFonts w:asciiTheme="minorHAnsi" w:eastAsia="华文细黑" w:hAnsiTheme="minorHAnsi" w:cs="Arial"/>
                <w:sz w:val="20"/>
                <w:szCs w:val="20"/>
              </w:rPr>
            </w:pPr>
            <w:r w:rsidRPr="004B465C">
              <w:rPr>
                <w:rFonts w:asciiTheme="minorHAnsi" w:eastAsia="华文细黑" w:hAnsiTheme="minorHAnsi" w:cs="Arial"/>
                <w:sz w:val="20"/>
                <w:szCs w:val="20"/>
              </w:rPr>
              <w:t>1.52</w:t>
            </w:r>
          </w:p>
        </w:tc>
        <w:tc>
          <w:tcPr>
            <w:tcW w:w="374" w:type="pct"/>
            <w:tcBorders>
              <w:top w:val="nil"/>
              <w:left w:val="nil"/>
              <w:bottom w:val="single" w:sz="4" w:space="0" w:color="auto"/>
              <w:right w:val="single" w:sz="4" w:space="0" w:color="auto"/>
            </w:tcBorders>
            <w:shd w:val="clear" w:color="auto" w:fill="auto"/>
            <w:noWrap/>
            <w:vAlign w:val="center"/>
            <w:hideMark/>
          </w:tcPr>
          <w:p w14:paraId="4FB8BF60" w14:textId="2CA5A7BB" w:rsidR="007F78F7" w:rsidRPr="004B465C" w:rsidRDefault="007F78F7" w:rsidP="007F78F7">
            <w:pPr>
              <w:jc w:val="right"/>
              <w:rPr>
                <w:rFonts w:asciiTheme="minorHAnsi" w:eastAsia="华文细黑" w:hAnsiTheme="minorHAnsi" w:cs="Arial"/>
                <w:sz w:val="20"/>
                <w:szCs w:val="20"/>
              </w:rPr>
            </w:pPr>
            <w:r w:rsidRPr="004B465C">
              <w:rPr>
                <w:rFonts w:asciiTheme="minorHAnsi" w:eastAsia="华文细黑" w:hAnsiTheme="minorHAnsi" w:cs="Arial"/>
                <w:sz w:val="20"/>
                <w:szCs w:val="20"/>
              </w:rPr>
              <w:t>1.59</w:t>
            </w:r>
          </w:p>
        </w:tc>
        <w:tc>
          <w:tcPr>
            <w:tcW w:w="374" w:type="pct"/>
            <w:tcBorders>
              <w:top w:val="nil"/>
              <w:left w:val="nil"/>
              <w:bottom w:val="single" w:sz="4" w:space="0" w:color="auto"/>
              <w:right w:val="single" w:sz="4" w:space="0" w:color="auto"/>
            </w:tcBorders>
            <w:shd w:val="clear" w:color="auto" w:fill="auto"/>
            <w:noWrap/>
            <w:vAlign w:val="center"/>
            <w:hideMark/>
          </w:tcPr>
          <w:p w14:paraId="7D92A3E8" w14:textId="6A20848D" w:rsidR="007F78F7" w:rsidRPr="004B465C" w:rsidRDefault="007F78F7" w:rsidP="007F78F7">
            <w:pPr>
              <w:jc w:val="right"/>
              <w:rPr>
                <w:rFonts w:asciiTheme="minorHAnsi" w:eastAsia="华文细黑" w:hAnsiTheme="minorHAnsi" w:cs="Arial"/>
                <w:sz w:val="20"/>
                <w:szCs w:val="20"/>
              </w:rPr>
            </w:pPr>
            <w:r w:rsidRPr="004B465C">
              <w:rPr>
                <w:rFonts w:asciiTheme="minorHAnsi" w:eastAsia="华文细黑" w:hAnsiTheme="minorHAnsi" w:cs="Arial"/>
                <w:sz w:val="20"/>
                <w:szCs w:val="20"/>
              </w:rPr>
              <w:t>1.66</w:t>
            </w:r>
          </w:p>
        </w:tc>
        <w:tc>
          <w:tcPr>
            <w:tcW w:w="615" w:type="pct"/>
            <w:tcBorders>
              <w:top w:val="nil"/>
              <w:left w:val="nil"/>
              <w:bottom w:val="single" w:sz="4" w:space="0" w:color="auto"/>
              <w:right w:val="single" w:sz="4" w:space="0" w:color="auto"/>
            </w:tcBorders>
            <w:shd w:val="clear" w:color="auto" w:fill="auto"/>
            <w:noWrap/>
            <w:vAlign w:val="center"/>
            <w:hideMark/>
          </w:tcPr>
          <w:p w14:paraId="7DA6F9E8" w14:textId="7C8A0A55" w:rsidR="007F78F7" w:rsidRPr="004B465C" w:rsidRDefault="007F78F7" w:rsidP="007F78F7">
            <w:pPr>
              <w:jc w:val="right"/>
              <w:rPr>
                <w:rFonts w:asciiTheme="minorHAnsi" w:eastAsia="华文细黑" w:hAnsiTheme="minorHAnsi" w:cs="Arial"/>
                <w:sz w:val="20"/>
                <w:szCs w:val="20"/>
              </w:rPr>
            </w:pPr>
            <w:r w:rsidRPr="004B465C">
              <w:rPr>
                <w:rFonts w:asciiTheme="minorHAnsi" w:eastAsia="华文细黑" w:hAnsiTheme="minorHAnsi" w:cs="Arial"/>
                <w:sz w:val="20"/>
                <w:szCs w:val="20"/>
              </w:rPr>
              <w:t>1.73</w:t>
            </w:r>
          </w:p>
        </w:tc>
      </w:tr>
      <w:tr w:rsidR="007F78F7" w:rsidRPr="007F78F7" w14:paraId="4D06A41E" w14:textId="77777777" w:rsidTr="004B465C">
        <w:trPr>
          <w:trHeight w:val="264"/>
          <w:jc w:val="center"/>
        </w:trPr>
        <w:tc>
          <w:tcPr>
            <w:tcW w:w="1353" w:type="pct"/>
            <w:tcBorders>
              <w:top w:val="nil"/>
              <w:left w:val="single" w:sz="4" w:space="0" w:color="auto"/>
              <w:bottom w:val="single" w:sz="4" w:space="0" w:color="auto"/>
              <w:right w:val="single" w:sz="4" w:space="0" w:color="auto"/>
            </w:tcBorders>
            <w:shd w:val="clear" w:color="000000" w:fill="D3DFEE"/>
            <w:noWrap/>
            <w:vAlign w:val="center"/>
            <w:hideMark/>
          </w:tcPr>
          <w:p w14:paraId="475D9D58" w14:textId="53AF8A95" w:rsidR="007F78F7" w:rsidRPr="004B465C" w:rsidRDefault="007F78F7" w:rsidP="004B465C">
            <w:pPr>
              <w:rPr>
                <w:rFonts w:asciiTheme="minorHAnsi" w:eastAsia="华文细黑" w:hAnsiTheme="minorHAnsi" w:cs="Arial"/>
                <w:b/>
                <w:bCs/>
                <w:color w:val="000000"/>
                <w:sz w:val="20"/>
                <w:szCs w:val="20"/>
              </w:rPr>
            </w:pPr>
            <w:r w:rsidRPr="004B465C">
              <w:rPr>
                <w:rFonts w:asciiTheme="minorHAnsi" w:eastAsia="华文细黑" w:hAnsiTheme="minorHAnsi" w:cs="Arial" w:hint="eastAsia"/>
                <w:b/>
                <w:bCs/>
                <w:color w:val="000000"/>
                <w:sz w:val="20"/>
                <w:szCs w:val="20"/>
              </w:rPr>
              <w:t>利率变动情况敏感性分析</w:t>
            </w:r>
          </w:p>
        </w:tc>
        <w:tc>
          <w:tcPr>
            <w:tcW w:w="420" w:type="pct"/>
            <w:tcBorders>
              <w:top w:val="nil"/>
              <w:left w:val="nil"/>
              <w:bottom w:val="single" w:sz="4" w:space="0" w:color="auto"/>
              <w:right w:val="single" w:sz="4" w:space="0" w:color="auto"/>
            </w:tcBorders>
            <w:shd w:val="clear" w:color="000000" w:fill="D3DFEE"/>
            <w:noWrap/>
            <w:vAlign w:val="center"/>
            <w:hideMark/>
          </w:tcPr>
          <w:p w14:paraId="6D6A246A" w14:textId="56BB5B69" w:rsidR="007F78F7" w:rsidRPr="004B465C" w:rsidRDefault="007F78F7" w:rsidP="007F78F7">
            <w:pPr>
              <w:jc w:val="right"/>
              <w:rPr>
                <w:rFonts w:asciiTheme="minorHAnsi" w:eastAsia="华文细黑" w:hAnsiTheme="minorHAnsi" w:cs="Arial"/>
                <w:b/>
                <w:bCs/>
                <w:color w:val="000000"/>
                <w:sz w:val="20"/>
                <w:szCs w:val="20"/>
              </w:rPr>
            </w:pPr>
          </w:p>
        </w:tc>
        <w:tc>
          <w:tcPr>
            <w:tcW w:w="420" w:type="pct"/>
            <w:tcBorders>
              <w:top w:val="nil"/>
              <w:left w:val="nil"/>
              <w:bottom w:val="single" w:sz="4" w:space="0" w:color="auto"/>
              <w:right w:val="single" w:sz="4" w:space="0" w:color="auto"/>
            </w:tcBorders>
            <w:shd w:val="clear" w:color="000000" w:fill="D3DFEE"/>
            <w:noWrap/>
            <w:vAlign w:val="center"/>
            <w:hideMark/>
          </w:tcPr>
          <w:p w14:paraId="1C03E27B" w14:textId="6CAEA0C9" w:rsidR="007F78F7" w:rsidRPr="004B465C" w:rsidRDefault="007F78F7" w:rsidP="007F78F7">
            <w:pPr>
              <w:jc w:val="right"/>
              <w:rPr>
                <w:rFonts w:asciiTheme="minorHAnsi" w:eastAsia="华文细黑" w:hAnsiTheme="minorHAnsi" w:cs="Arial"/>
                <w:b/>
                <w:bCs/>
                <w:color w:val="000000"/>
                <w:sz w:val="20"/>
                <w:szCs w:val="20"/>
              </w:rPr>
            </w:pPr>
          </w:p>
        </w:tc>
        <w:tc>
          <w:tcPr>
            <w:tcW w:w="420" w:type="pct"/>
            <w:tcBorders>
              <w:top w:val="nil"/>
              <w:left w:val="nil"/>
              <w:bottom w:val="single" w:sz="4" w:space="0" w:color="auto"/>
              <w:right w:val="single" w:sz="4" w:space="0" w:color="auto"/>
            </w:tcBorders>
            <w:shd w:val="clear" w:color="000000" w:fill="D3DFEE"/>
            <w:noWrap/>
            <w:vAlign w:val="center"/>
            <w:hideMark/>
          </w:tcPr>
          <w:p w14:paraId="5C1458C8" w14:textId="025B3077" w:rsidR="007F78F7" w:rsidRPr="004B465C" w:rsidRDefault="007F78F7" w:rsidP="007F78F7">
            <w:pPr>
              <w:jc w:val="right"/>
              <w:rPr>
                <w:rFonts w:asciiTheme="minorHAnsi" w:eastAsia="华文细黑" w:hAnsiTheme="minorHAnsi" w:cs="Arial"/>
                <w:b/>
                <w:bCs/>
                <w:color w:val="000000"/>
                <w:sz w:val="20"/>
                <w:szCs w:val="20"/>
              </w:rPr>
            </w:pPr>
          </w:p>
        </w:tc>
        <w:tc>
          <w:tcPr>
            <w:tcW w:w="353" w:type="pct"/>
            <w:tcBorders>
              <w:top w:val="nil"/>
              <w:left w:val="nil"/>
              <w:bottom w:val="single" w:sz="4" w:space="0" w:color="auto"/>
              <w:right w:val="single" w:sz="4" w:space="0" w:color="auto"/>
            </w:tcBorders>
            <w:shd w:val="clear" w:color="000000" w:fill="D3DFEE"/>
            <w:noWrap/>
            <w:vAlign w:val="center"/>
            <w:hideMark/>
          </w:tcPr>
          <w:p w14:paraId="139ED12B" w14:textId="7F5EF901" w:rsidR="007F78F7" w:rsidRPr="004B465C" w:rsidRDefault="007F78F7" w:rsidP="007F78F7">
            <w:pPr>
              <w:jc w:val="right"/>
              <w:rPr>
                <w:rFonts w:asciiTheme="minorHAnsi" w:eastAsia="华文细黑" w:hAnsiTheme="minorHAnsi" w:cs="Arial"/>
                <w:b/>
                <w:bCs/>
                <w:color w:val="000000"/>
                <w:sz w:val="20"/>
                <w:szCs w:val="20"/>
              </w:rPr>
            </w:pPr>
          </w:p>
        </w:tc>
        <w:tc>
          <w:tcPr>
            <w:tcW w:w="335" w:type="pct"/>
            <w:tcBorders>
              <w:top w:val="nil"/>
              <w:left w:val="nil"/>
              <w:bottom w:val="single" w:sz="4" w:space="0" w:color="auto"/>
              <w:right w:val="single" w:sz="4" w:space="0" w:color="auto"/>
            </w:tcBorders>
            <w:shd w:val="clear" w:color="000000" w:fill="D3DFEE"/>
            <w:noWrap/>
            <w:vAlign w:val="center"/>
            <w:hideMark/>
          </w:tcPr>
          <w:p w14:paraId="4ECB104C" w14:textId="798388E8" w:rsidR="007F78F7" w:rsidRPr="004B465C" w:rsidRDefault="007F78F7" w:rsidP="007F78F7">
            <w:pPr>
              <w:jc w:val="right"/>
              <w:rPr>
                <w:rFonts w:asciiTheme="minorHAnsi" w:eastAsia="华文细黑" w:hAnsiTheme="minorHAnsi" w:cs="Arial"/>
                <w:b/>
                <w:bCs/>
                <w:color w:val="000000"/>
                <w:sz w:val="20"/>
                <w:szCs w:val="20"/>
              </w:rPr>
            </w:pPr>
          </w:p>
        </w:tc>
        <w:tc>
          <w:tcPr>
            <w:tcW w:w="335" w:type="pct"/>
            <w:tcBorders>
              <w:top w:val="nil"/>
              <w:left w:val="nil"/>
              <w:bottom w:val="single" w:sz="4" w:space="0" w:color="auto"/>
              <w:right w:val="single" w:sz="4" w:space="0" w:color="auto"/>
            </w:tcBorders>
            <w:shd w:val="clear" w:color="000000" w:fill="D3DFEE"/>
            <w:noWrap/>
            <w:vAlign w:val="center"/>
            <w:hideMark/>
          </w:tcPr>
          <w:p w14:paraId="5F3D1DDB" w14:textId="462832A1" w:rsidR="007F78F7" w:rsidRPr="004B465C" w:rsidRDefault="007F78F7" w:rsidP="007F78F7">
            <w:pPr>
              <w:jc w:val="right"/>
              <w:rPr>
                <w:rFonts w:asciiTheme="minorHAnsi" w:eastAsia="华文细黑" w:hAnsiTheme="minorHAnsi" w:cs="Arial"/>
                <w:b/>
                <w:bCs/>
                <w:color w:val="000000"/>
                <w:sz w:val="20"/>
                <w:szCs w:val="20"/>
              </w:rPr>
            </w:pPr>
          </w:p>
        </w:tc>
        <w:tc>
          <w:tcPr>
            <w:tcW w:w="374" w:type="pct"/>
            <w:tcBorders>
              <w:top w:val="nil"/>
              <w:left w:val="nil"/>
              <w:bottom w:val="single" w:sz="4" w:space="0" w:color="auto"/>
              <w:right w:val="single" w:sz="4" w:space="0" w:color="auto"/>
            </w:tcBorders>
            <w:shd w:val="clear" w:color="000000" w:fill="D3DFEE"/>
            <w:noWrap/>
            <w:vAlign w:val="center"/>
            <w:hideMark/>
          </w:tcPr>
          <w:p w14:paraId="46AF4A20" w14:textId="0F2B1831" w:rsidR="007F78F7" w:rsidRPr="004B465C" w:rsidRDefault="007F78F7" w:rsidP="007F78F7">
            <w:pPr>
              <w:jc w:val="right"/>
              <w:rPr>
                <w:rFonts w:asciiTheme="minorHAnsi" w:eastAsia="华文细黑" w:hAnsiTheme="minorHAnsi" w:cs="Arial"/>
                <w:b/>
                <w:bCs/>
                <w:color w:val="000000"/>
                <w:sz w:val="20"/>
                <w:szCs w:val="20"/>
              </w:rPr>
            </w:pPr>
          </w:p>
        </w:tc>
        <w:tc>
          <w:tcPr>
            <w:tcW w:w="374" w:type="pct"/>
            <w:tcBorders>
              <w:top w:val="nil"/>
              <w:left w:val="nil"/>
              <w:bottom w:val="single" w:sz="4" w:space="0" w:color="auto"/>
              <w:right w:val="single" w:sz="4" w:space="0" w:color="auto"/>
            </w:tcBorders>
            <w:shd w:val="clear" w:color="000000" w:fill="D3DFEE"/>
            <w:noWrap/>
            <w:vAlign w:val="center"/>
            <w:hideMark/>
          </w:tcPr>
          <w:p w14:paraId="4DBB9939" w14:textId="034BD124" w:rsidR="007F78F7" w:rsidRPr="004B465C" w:rsidRDefault="007F78F7" w:rsidP="007F78F7">
            <w:pPr>
              <w:jc w:val="right"/>
              <w:rPr>
                <w:rFonts w:asciiTheme="minorHAnsi" w:eastAsia="华文细黑" w:hAnsiTheme="minorHAnsi" w:cs="Arial"/>
                <w:b/>
                <w:bCs/>
                <w:color w:val="000000"/>
                <w:sz w:val="20"/>
                <w:szCs w:val="20"/>
              </w:rPr>
            </w:pPr>
          </w:p>
        </w:tc>
        <w:tc>
          <w:tcPr>
            <w:tcW w:w="615" w:type="pct"/>
            <w:tcBorders>
              <w:top w:val="nil"/>
              <w:left w:val="nil"/>
              <w:bottom w:val="single" w:sz="4" w:space="0" w:color="auto"/>
              <w:right w:val="single" w:sz="4" w:space="0" w:color="auto"/>
            </w:tcBorders>
            <w:shd w:val="clear" w:color="000000" w:fill="D3DFEE"/>
            <w:noWrap/>
            <w:vAlign w:val="center"/>
            <w:hideMark/>
          </w:tcPr>
          <w:p w14:paraId="30F1F341" w14:textId="0EA3148B" w:rsidR="007F78F7" w:rsidRPr="004B465C" w:rsidRDefault="007F78F7" w:rsidP="007F78F7">
            <w:pPr>
              <w:jc w:val="right"/>
              <w:rPr>
                <w:rFonts w:asciiTheme="minorHAnsi" w:eastAsia="华文细黑" w:hAnsiTheme="minorHAnsi" w:cs="Arial"/>
                <w:b/>
                <w:bCs/>
                <w:color w:val="000000"/>
                <w:sz w:val="20"/>
                <w:szCs w:val="20"/>
              </w:rPr>
            </w:pPr>
          </w:p>
        </w:tc>
      </w:tr>
      <w:tr w:rsidR="007F78F7" w:rsidRPr="007F78F7" w14:paraId="0F393595" w14:textId="77777777" w:rsidTr="004B465C">
        <w:trPr>
          <w:trHeight w:val="264"/>
          <w:jc w:val="center"/>
        </w:trPr>
        <w:tc>
          <w:tcPr>
            <w:tcW w:w="1353" w:type="pct"/>
            <w:tcBorders>
              <w:top w:val="nil"/>
              <w:left w:val="single" w:sz="4" w:space="0" w:color="auto"/>
              <w:bottom w:val="single" w:sz="4" w:space="0" w:color="auto"/>
              <w:right w:val="single" w:sz="4" w:space="0" w:color="auto"/>
            </w:tcBorders>
            <w:shd w:val="clear" w:color="auto" w:fill="auto"/>
            <w:noWrap/>
            <w:vAlign w:val="center"/>
            <w:hideMark/>
          </w:tcPr>
          <w:p w14:paraId="256718FB" w14:textId="2157D066" w:rsidR="007F78F7" w:rsidRPr="004B465C" w:rsidRDefault="007F78F7" w:rsidP="007F78F7">
            <w:pPr>
              <w:rPr>
                <w:rFonts w:asciiTheme="minorHAnsi" w:eastAsia="华文细黑" w:hAnsiTheme="minorHAnsi" w:cs="Arial"/>
                <w:color w:val="000000"/>
                <w:sz w:val="20"/>
                <w:szCs w:val="20"/>
              </w:rPr>
            </w:pPr>
            <w:r w:rsidRPr="004B465C">
              <w:rPr>
                <w:rFonts w:asciiTheme="minorHAnsi" w:eastAsia="华文细黑" w:hAnsiTheme="minorHAnsi" w:cs="Arial" w:hint="eastAsia"/>
                <w:color w:val="000000"/>
                <w:sz w:val="20"/>
                <w:szCs w:val="20"/>
              </w:rPr>
              <w:t>债券本金资金覆盖率</w:t>
            </w:r>
          </w:p>
        </w:tc>
        <w:tc>
          <w:tcPr>
            <w:tcW w:w="420" w:type="pct"/>
            <w:tcBorders>
              <w:top w:val="nil"/>
              <w:left w:val="nil"/>
              <w:bottom w:val="single" w:sz="4" w:space="0" w:color="auto"/>
              <w:right w:val="single" w:sz="4" w:space="0" w:color="auto"/>
            </w:tcBorders>
            <w:shd w:val="clear" w:color="auto" w:fill="auto"/>
            <w:noWrap/>
            <w:vAlign w:val="center"/>
            <w:hideMark/>
          </w:tcPr>
          <w:p w14:paraId="7F362A4C" w14:textId="40E29080" w:rsidR="007F78F7" w:rsidRPr="004B465C" w:rsidRDefault="007F78F7" w:rsidP="007F78F7">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1.67</w:t>
            </w:r>
          </w:p>
        </w:tc>
        <w:tc>
          <w:tcPr>
            <w:tcW w:w="420" w:type="pct"/>
            <w:tcBorders>
              <w:top w:val="nil"/>
              <w:left w:val="nil"/>
              <w:bottom w:val="single" w:sz="4" w:space="0" w:color="auto"/>
              <w:right w:val="single" w:sz="4" w:space="0" w:color="auto"/>
            </w:tcBorders>
            <w:shd w:val="clear" w:color="auto" w:fill="auto"/>
            <w:noWrap/>
            <w:vAlign w:val="center"/>
            <w:hideMark/>
          </w:tcPr>
          <w:p w14:paraId="5C01B2FF" w14:textId="4ECE6839" w:rsidR="007F78F7" w:rsidRPr="004B465C" w:rsidRDefault="007F78F7" w:rsidP="007F78F7">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1.67</w:t>
            </w:r>
          </w:p>
        </w:tc>
        <w:tc>
          <w:tcPr>
            <w:tcW w:w="420" w:type="pct"/>
            <w:tcBorders>
              <w:top w:val="nil"/>
              <w:left w:val="nil"/>
              <w:bottom w:val="single" w:sz="4" w:space="0" w:color="auto"/>
              <w:right w:val="single" w:sz="4" w:space="0" w:color="auto"/>
            </w:tcBorders>
            <w:shd w:val="clear" w:color="auto" w:fill="auto"/>
            <w:noWrap/>
            <w:vAlign w:val="center"/>
            <w:hideMark/>
          </w:tcPr>
          <w:p w14:paraId="483CD78C" w14:textId="5F8137DC" w:rsidR="007F78F7" w:rsidRPr="004B465C" w:rsidRDefault="007F78F7" w:rsidP="007F78F7">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1.67</w:t>
            </w:r>
          </w:p>
        </w:tc>
        <w:tc>
          <w:tcPr>
            <w:tcW w:w="353" w:type="pct"/>
            <w:tcBorders>
              <w:top w:val="nil"/>
              <w:left w:val="nil"/>
              <w:bottom w:val="single" w:sz="4" w:space="0" w:color="auto"/>
              <w:right w:val="single" w:sz="4" w:space="0" w:color="auto"/>
            </w:tcBorders>
            <w:shd w:val="clear" w:color="auto" w:fill="auto"/>
            <w:noWrap/>
            <w:vAlign w:val="center"/>
            <w:hideMark/>
          </w:tcPr>
          <w:p w14:paraId="6125F9D0" w14:textId="7B48D500" w:rsidR="007F78F7" w:rsidRPr="004B465C" w:rsidRDefault="007F78F7" w:rsidP="007F78F7">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1.67</w:t>
            </w:r>
          </w:p>
        </w:tc>
        <w:tc>
          <w:tcPr>
            <w:tcW w:w="335" w:type="pct"/>
            <w:tcBorders>
              <w:top w:val="nil"/>
              <w:left w:val="nil"/>
              <w:bottom w:val="single" w:sz="4" w:space="0" w:color="auto"/>
              <w:right w:val="single" w:sz="4" w:space="0" w:color="auto"/>
            </w:tcBorders>
            <w:shd w:val="clear" w:color="auto" w:fill="auto"/>
            <w:noWrap/>
            <w:vAlign w:val="center"/>
            <w:hideMark/>
          </w:tcPr>
          <w:p w14:paraId="08ED863E" w14:textId="34205849" w:rsidR="007F78F7" w:rsidRPr="004B465C" w:rsidRDefault="007F78F7" w:rsidP="007F78F7">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1.67</w:t>
            </w:r>
          </w:p>
        </w:tc>
        <w:tc>
          <w:tcPr>
            <w:tcW w:w="335" w:type="pct"/>
            <w:tcBorders>
              <w:top w:val="nil"/>
              <w:left w:val="nil"/>
              <w:bottom w:val="single" w:sz="4" w:space="0" w:color="auto"/>
              <w:right w:val="single" w:sz="4" w:space="0" w:color="auto"/>
            </w:tcBorders>
            <w:shd w:val="clear" w:color="auto" w:fill="auto"/>
            <w:noWrap/>
            <w:vAlign w:val="center"/>
            <w:hideMark/>
          </w:tcPr>
          <w:p w14:paraId="1B43BEA9" w14:textId="57E7C8F3" w:rsidR="007F78F7" w:rsidRPr="004B465C" w:rsidRDefault="007F78F7" w:rsidP="007F78F7">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1.67</w:t>
            </w:r>
          </w:p>
        </w:tc>
        <w:tc>
          <w:tcPr>
            <w:tcW w:w="374" w:type="pct"/>
            <w:tcBorders>
              <w:top w:val="nil"/>
              <w:left w:val="nil"/>
              <w:bottom w:val="single" w:sz="4" w:space="0" w:color="auto"/>
              <w:right w:val="single" w:sz="4" w:space="0" w:color="auto"/>
            </w:tcBorders>
            <w:shd w:val="clear" w:color="auto" w:fill="auto"/>
            <w:noWrap/>
            <w:vAlign w:val="center"/>
            <w:hideMark/>
          </w:tcPr>
          <w:p w14:paraId="10F60D79" w14:textId="721509B6" w:rsidR="007F78F7" w:rsidRPr="004B465C" w:rsidRDefault="007F78F7" w:rsidP="007F78F7">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1.67</w:t>
            </w:r>
          </w:p>
        </w:tc>
        <w:tc>
          <w:tcPr>
            <w:tcW w:w="374" w:type="pct"/>
            <w:tcBorders>
              <w:top w:val="nil"/>
              <w:left w:val="nil"/>
              <w:bottom w:val="single" w:sz="4" w:space="0" w:color="auto"/>
              <w:right w:val="single" w:sz="4" w:space="0" w:color="auto"/>
            </w:tcBorders>
            <w:shd w:val="clear" w:color="auto" w:fill="auto"/>
            <w:noWrap/>
            <w:vAlign w:val="center"/>
            <w:hideMark/>
          </w:tcPr>
          <w:p w14:paraId="4A6F97A6" w14:textId="2C22797D" w:rsidR="007F78F7" w:rsidRPr="004B465C" w:rsidRDefault="007F78F7" w:rsidP="007F78F7">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1.67</w:t>
            </w:r>
          </w:p>
        </w:tc>
        <w:tc>
          <w:tcPr>
            <w:tcW w:w="615" w:type="pct"/>
            <w:tcBorders>
              <w:top w:val="nil"/>
              <w:left w:val="nil"/>
              <w:bottom w:val="single" w:sz="4" w:space="0" w:color="auto"/>
              <w:right w:val="single" w:sz="4" w:space="0" w:color="auto"/>
            </w:tcBorders>
            <w:shd w:val="clear" w:color="auto" w:fill="auto"/>
            <w:noWrap/>
            <w:vAlign w:val="center"/>
            <w:hideMark/>
          </w:tcPr>
          <w:p w14:paraId="36199A17" w14:textId="419B7951" w:rsidR="007F78F7" w:rsidRPr="004B465C" w:rsidRDefault="007F78F7" w:rsidP="007F78F7">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1.67</w:t>
            </w:r>
          </w:p>
        </w:tc>
      </w:tr>
      <w:tr w:rsidR="007F78F7" w:rsidRPr="007F78F7" w14:paraId="5EF8CDD4" w14:textId="77777777" w:rsidTr="004B465C">
        <w:trPr>
          <w:trHeight w:val="264"/>
          <w:jc w:val="center"/>
        </w:trPr>
        <w:tc>
          <w:tcPr>
            <w:tcW w:w="1353" w:type="pct"/>
            <w:tcBorders>
              <w:top w:val="nil"/>
              <w:left w:val="single" w:sz="4" w:space="0" w:color="auto"/>
              <w:bottom w:val="single" w:sz="4" w:space="0" w:color="auto"/>
              <w:right w:val="single" w:sz="4" w:space="0" w:color="auto"/>
            </w:tcBorders>
            <w:shd w:val="clear" w:color="auto" w:fill="auto"/>
            <w:noWrap/>
            <w:vAlign w:val="center"/>
            <w:hideMark/>
          </w:tcPr>
          <w:p w14:paraId="20C944B6" w14:textId="0489E827" w:rsidR="007F78F7" w:rsidRPr="004B465C" w:rsidRDefault="007F78F7" w:rsidP="007F78F7">
            <w:pPr>
              <w:rPr>
                <w:rFonts w:asciiTheme="minorHAnsi" w:eastAsia="华文细黑" w:hAnsiTheme="minorHAnsi" w:cs="Arial"/>
                <w:color w:val="000000"/>
                <w:sz w:val="20"/>
                <w:szCs w:val="20"/>
              </w:rPr>
            </w:pPr>
            <w:r w:rsidRPr="004B465C">
              <w:rPr>
                <w:rFonts w:asciiTheme="minorHAnsi" w:eastAsia="华文细黑" w:hAnsiTheme="minorHAnsi" w:cs="Arial" w:hint="eastAsia"/>
                <w:color w:val="000000"/>
                <w:sz w:val="20"/>
                <w:szCs w:val="20"/>
              </w:rPr>
              <w:t>债券本息资金覆盖率</w:t>
            </w:r>
          </w:p>
        </w:tc>
        <w:tc>
          <w:tcPr>
            <w:tcW w:w="420" w:type="pct"/>
            <w:tcBorders>
              <w:top w:val="nil"/>
              <w:left w:val="nil"/>
              <w:bottom w:val="single" w:sz="4" w:space="0" w:color="auto"/>
              <w:right w:val="single" w:sz="4" w:space="0" w:color="auto"/>
            </w:tcBorders>
            <w:shd w:val="clear" w:color="auto" w:fill="auto"/>
            <w:noWrap/>
            <w:vAlign w:val="center"/>
            <w:hideMark/>
          </w:tcPr>
          <w:p w14:paraId="645DBAB4" w14:textId="399BDDD6" w:rsidR="007F78F7" w:rsidRPr="004B465C" w:rsidRDefault="007F78F7" w:rsidP="007F78F7">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1.50</w:t>
            </w:r>
          </w:p>
        </w:tc>
        <w:tc>
          <w:tcPr>
            <w:tcW w:w="420" w:type="pct"/>
            <w:tcBorders>
              <w:top w:val="nil"/>
              <w:left w:val="nil"/>
              <w:bottom w:val="single" w:sz="4" w:space="0" w:color="auto"/>
              <w:right w:val="single" w:sz="4" w:space="0" w:color="auto"/>
            </w:tcBorders>
            <w:shd w:val="clear" w:color="auto" w:fill="auto"/>
            <w:noWrap/>
            <w:vAlign w:val="center"/>
            <w:hideMark/>
          </w:tcPr>
          <w:p w14:paraId="7AD07B41" w14:textId="2B9A2107" w:rsidR="007F78F7" w:rsidRPr="004B465C" w:rsidRDefault="007F78F7" w:rsidP="007F78F7">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1.50</w:t>
            </w:r>
          </w:p>
        </w:tc>
        <w:tc>
          <w:tcPr>
            <w:tcW w:w="420" w:type="pct"/>
            <w:tcBorders>
              <w:top w:val="nil"/>
              <w:left w:val="nil"/>
              <w:bottom w:val="single" w:sz="4" w:space="0" w:color="auto"/>
              <w:right w:val="single" w:sz="4" w:space="0" w:color="auto"/>
            </w:tcBorders>
            <w:shd w:val="clear" w:color="auto" w:fill="auto"/>
            <w:noWrap/>
            <w:vAlign w:val="center"/>
            <w:hideMark/>
          </w:tcPr>
          <w:p w14:paraId="2B157416" w14:textId="52F1CB8E" w:rsidR="007F78F7" w:rsidRPr="004B465C" w:rsidRDefault="007F78F7" w:rsidP="007F78F7">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1.50</w:t>
            </w:r>
          </w:p>
        </w:tc>
        <w:tc>
          <w:tcPr>
            <w:tcW w:w="353" w:type="pct"/>
            <w:tcBorders>
              <w:top w:val="nil"/>
              <w:left w:val="nil"/>
              <w:bottom w:val="single" w:sz="4" w:space="0" w:color="auto"/>
              <w:right w:val="single" w:sz="4" w:space="0" w:color="auto"/>
            </w:tcBorders>
            <w:shd w:val="clear" w:color="auto" w:fill="auto"/>
            <w:noWrap/>
            <w:vAlign w:val="center"/>
            <w:hideMark/>
          </w:tcPr>
          <w:p w14:paraId="7113330D" w14:textId="211AE167" w:rsidR="007F78F7" w:rsidRPr="004B465C" w:rsidRDefault="007F78F7" w:rsidP="007F78F7">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1.50</w:t>
            </w:r>
          </w:p>
        </w:tc>
        <w:tc>
          <w:tcPr>
            <w:tcW w:w="335" w:type="pct"/>
            <w:tcBorders>
              <w:top w:val="nil"/>
              <w:left w:val="nil"/>
              <w:bottom w:val="single" w:sz="4" w:space="0" w:color="auto"/>
              <w:right w:val="single" w:sz="4" w:space="0" w:color="auto"/>
            </w:tcBorders>
            <w:shd w:val="clear" w:color="auto" w:fill="auto"/>
            <w:noWrap/>
            <w:vAlign w:val="center"/>
            <w:hideMark/>
          </w:tcPr>
          <w:p w14:paraId="089A695F" w14:textId="1F45E597" w:rsidR="007F78F7" w:rsidRPr="004B465C" w:rsidRDefault="007F78F7" w:rsidP="007F78F7">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1.50</w:t>
            </w:r>
          </w:p>
        </w:tc>
        <w:tc>
          <w:tcPr>
            <w:tcW w:w="335" w:type="pct"/>
            <w:tcBorders>
              <w:top w:val="nil"/>
              <w:left w:val="nil"/>
              <w:bottom w:val="single" w:sz="4" w:space="0" w:color="auto"/>
              <w:right w:val="single" w:sz="4" w:space="0" w:color="auto"/>
            </w:tcBorders>
            <w:shd w:val="clear" w:color="auto" w:fill="auto"/>
            <w:noWrap/>
            <w:vAlign w:val="center"/>
            <w:hideMark/>
          </w:tcPr>
          <w:p w14:paraId="26C90781" w14:textId="57859C09" w:rsidR="007F78F7" w:rsidRPr="004B465C" w:rsidRDefault="007F78F7" w:rsidP="007F78F7">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1.50</w:t>
            </w:r>
          </w:p>
        </w:tc>
        <w:tc>
          <w:tcPr>
            <w:tcW w:w="374" w:type="pct"/>
            <w:tcBorders>
              <w:top w:val="nil"/>
              <w:left w:val="nil"/>
              <w:bottom w:val="single" w:sz="4" w:space="0" w:color="auto"/>
              <w:right w:val="single" w:sz="4" w:space="0" w:color="auto"/>
            </w:tcBorders>
            <w:shd w:val="clear" w:color="auto" w:fill="auto"/>
            <w:noWrap/>
            <w:vAlign w:val="center"/>
            <w:hideMark/>
          </w:tcPr>
          <w:p w14:paraId="093196DD" w14:textId="3BBFD85E" w:rsidR="007F78F7" w:rsidRPr="004B465C" w:rsidRDefault="007F78F7" w:rsidP="007F78F7">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1.50</w:t>
            </w:r>
          </w:p>
        </w:tc>
        <w:tc>
          <w:tcPr>
            <w:tcW w:w="374" w:type="pct"/>
            <w:tcBorders>
              <w:top w:val="nil"/>
              <w:left w:val="nil"/>
              <w:bottom w:val="single" w:sz="4" w:space="0" w:color="auto"/>
              <w:right w:val="single" w:sz="4" w:space="0" w:color="auto"/>
            </w:tcBorders>
            <w:shd w:val="clear" w:color="auto" w:fill="auto"/>
            <w:noWrap/>
            <w:vAlign w:val="center"/>
            <w:hideMark/>
          </w:tcPr>
          <w:p w14:paraId="4E755C33" w14:textId="49DC527C" w:rsidR="007F78F7" w:rsidRPr="004B465C" w:rsidRDefault="007F78F7" w:rsidP="007F78F7">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1.50</w:t>
            </w:r>
          </w:p>
        </w:tc>
        <w:tc>
          <w:tcPr>
            <w:tcW w:w="615" w:type="pct"/>
            <w:tcBorders>
              <w:top w:val="nil"/>
              <w:left w:val="nil"/>
              <w:bottom w:val="single" w:sz="4" w:space="0" w:color="auto"/>
              <w:right w:val="single" w:sz="4" w:space="0" w:color="auto"/>
            </w:tcBorders>
            <w:shd w:val="clear" w:color="auto" w:fill="auto"/>
            <w:noWrap/>
            <w:vAlign w:val="center"/>
            <w:hideMark/>
          </w:tcPr>
          <w:p w14:paraId="075EE80C" w14:textId="24552BB3" w:rsidR="007F78F7" w:rsidRPr="004B465C" w:rsidRDefault="007F78F7" w:rsidP="007F78F7">
            <w:pPr>
              <w:jc w:val="right"/>
              <w:rPr>
                <w:rFonts w:asciiTheme="minorHAnsi" w:eastAsia="华文细黑" w:hAnsiTheme="minorHAnsi" w:cs="Arial"/>
                <w:color w:val="000000"/>
                <w:sz w:val="20"/>
                <w:szCs w:val="20"/>
              </w:rPr>
            </w:pPr>
            <w:r w:rsidRPr="004B465C">
              <w:rPr>
                <w:rFonts w:asciiTheme="minorHAnsi" w:eastAsia="华文细黑" w:hAnsiTheme="minorHAnsi" w:cs="Arial"/>
                <w:color w:val="000000"/>
                <w:sz w:val="20"/>
                <w:szCs w:val="20"/>
              </w:rPr>
              <w:t>1.50</w:t>
            </w:r>
          </w:p>
        </w:tc>
      </w:tr>
      <w:tr w:rsidR="007F78F7" w:rsidRPr="007F78F7" w14:paraId="5FD0A0A9" w14:textId="77777777" w:rsidTr="004B465C">
        <w:trPr>
          <w:trHeight w:val="264"/>
          <w:jc w:val="center"/>
        </w:trPr>
        <w:tc>
          <w:tcPr>
            <w:tcW w:w="1353" w:type="pct"/>
            <w:tcBorders>
              <w:top w:val="nil"/>
              <w:left w:val="single" w:sz="4" w:space="0" w:color="auto"/>
              <w:bottom w:val="single" w:sz="4" w:space="0" w:color="auto"/>
              <w:right w:val="single" w:sz="4" w:space="0" w:color="auto"/>
            </w:tcBorders>
            <w:shd w:val="clear" w:color="auto" w:fill="auto"/>
            <w:noWrap/>
            <w:vAlign w:val="center"/>
            <w:hideMark/>
          </w:tcPr>
          <w:p w14:paraId="09FD2412" w14:textId="77777777" w:rsidR="007F78F7" w:rsidRPr="004B465C" w:rsidRDefault="007F78F7" w:rsidP="007F78F7">
            <w:pPr>
              <w:rPr>
                <w:rFonts w:asciiTheme="minorHAnsi" w:eastAsia="华文细黑" w:hAnsiTheme="minorHAnsi" w:cs="宋体"/>
                <w:sz w:val="20"/>
                <w:szCs w:val="20"/>
              </w:rPr>
            </w:pPr>
            <w:r w:rsidRPr="004B465C">
              <w:rPr>
                <w:rFonts w:asciiTheme="minorHAnsi" w:eastAsia="华文细黑" w:hAnsiTheme="minorHAnsi" w:cs="宋体" w:hint="eastAsia"/>
                <w:sz w:val="20"/>
                <w:szCs w:val="20"/>
              </w:rPr>
              <w:t>债券本息资金覆盖倍数</w:t>
            </w:r>
          </w:p>
        </w:tc>
        <w:tc>
          <w:tcPr>
            <w:tcW w:w="420" w:type="pct"/>
            <w:tcBorders>
              <w:top w:val="nil"/>
              <w:left w:val="nil"/>
              <w:bottom w:val="single" w:sz="4" w:space="0" w:color="auto"/>
              <w:right w:val="single" w:sz="4" w:space="0" w:color="auto"/>
            </w:tcBorders>
            <w:shd w:val="clear" w:color="auto" w:fill="auto"/>
            <w:noWrap/>
            <w:vAlign w:val="center"/>
            <w:hideMark/>
          </w:tcPr>
          <w:p w14:paraId="4F5D8926" w14:textId="727A44E5" w:rsidR="007F78F7" w:rsidRPr="004B465C" w:rsidRDefault="007F78F7" w:rsidP="007F78F7">
            <w:pPr>
              <w:jc w:val="right"/>
              <w:rPr>
                <w:rFonts w:asciiTheme="minorHAnsi" w:eastAsia="华文细黑" w:hAnsiTheme="minorHAnsi" w:cs="Arial"/>
                <w:sz w:val="20"/>
                <w:szCs w:val="20"/>
              </w:rPr>
            </w:pPr>
            <w:r w:rsidRPr="004B465C">
              <w:rPr>
                <w:rFonts w:asciiTheme="minorHAnsi" w:eastAsia="华文细黑" w:hAnsiTheme="minorHAnsi" w:cs="Arial"/>
                <w:sz w:val="20"/>
                <w:szCs w:val="20"/>
              </w:rPr>
              <w:t>1.45</w:t>
            </w:r>
          </w:p>
        </w:tc>
        <w:tc>
          <w:tcPr>
            <w:tcW w:w="420" w:type="pct"/>
            <w:tcBorders>
              <w:top w:val="nil"/>
              <w:left w:val="nil"/>
              <w:bottom w:val="single" w:sz="4" w:space="0" w:color="auto"/>
              <w:right w:val="single" w:sz="4" w:space="0" w:color="auto"/>
            </w:tcBorders>
            <w:shd w:val="clear" w:color="auto" w:fill="auto"/>
            <w:noWrap/>
            <w:vAlign w:val="center"/>
            <w:hideMark/>
          </w:tcPr>
          <w:p w14:paraId="52636300" w14:textId="57B20159" w:rsidR="007F78F7" w:rsidRPr="004B465C" w:rsidRDefault="007F78F7" w:rsidP="007F78F7">
            <w:pPr>
              <w:jc w:val="right"/>
              <w:rPr>
                <w:rFonts w:asciiTheme="minorHAnsi" w:eastAsia="华文细黑" w:hAnsiTheme="minorHAnsi" w:cs="Arial"/>
                <w:sz w:val="20"/>
                <w:szCs w:val="20"/>
              </w:rPr>
            </w:pPr>
            <w:r w:rsidRPr="004B465C">
              <w:rPr>
                <w:rFonts w:asciiTheme="minorHAnsi" w:eastAsia="华文细黑" w:hAnsiTheme="minorHAnsi" w:cs="Arial"/>
                <w:sz w:val="20"/>
                <w:szCs w:val="20"/>
              </w:rPr>
              <w:t>1.45</w:t>
            </w:r>
          </w:p>
        </w:tc>
        <w:tc>
          <w:tcPr>
            <w:tcW w:w="420" w:type="pct"/>
            <w:tcBorders>
              <w:top w:val="nil"/>
              <w:left w:val="nil"/>
              <w:bottom w:val="single" w:sz="4" w:space="0" w:color="auto"/>
              <w:right w:val="single" w:sz="4" w:space="0" w:color="auto"/>
            </w:tcBorders>
            <w:shd w:val="clear" w:color="auto" w:fill="auto"/>
            <w:noWrap/>
            <w:vAlign w:val="center"/>
            <w:hideMark/>
          </w:tcPr>
          <w:p w14:paraId="49D9DBEE" w14:textId="62EA8C6C" w:rsidR="007F78F7" w:rsidRPr="004B465C" w:rsidRDefault="007F78F7" w:rsidP="007F78F7">
            <w:pPr>
              <w:jc w:val="right"/>
              <w:rPr>
                <w:rFonts w:asciiTheme="minorHAnsi" w:eastAsia="华文细黑" w:hAnsiTheme="minorHAnsi" w:cs="Arial"/>
                <w:sz w:val="20"/>
                <w:szCs w:val="20"/>
              </w:rPr>
            </w:pPr>
            <w:r w:rsidRPr="004B465C">
              <w:rPr>
                <w:rFonts w:asciiTheme="minorHAnsi" w:eastAsia="华文细黑" w:hAnsiTheme="minorHAnsi" w:cs="Arial"/>
                <w:sz w:val="20"/>
                <w:szCs w:val="20"/>
              </w:rPr>
              <w:t>1.45</w:t>
            </w:r>
          </w:p>
        </w:tc>
        <w:tc>
          <w:tcPr>
            <w:tcW w:w="353" w:type="pct"/>
            <w:tcBorders>
              <w:top w:val="nil"/>
              <w:left w:val="nil"/>
              <w:bottom w:val="single" w:sz="4" w:space="0" w:color="auto"/>
              <w:right w:val="single" w:sz="4" w:space="0" w:color="auto"/>
            </w:tcBorders>
            <w:shd w:val="clear" w:color="auto" w:fill="auto"/>
            <w:noWrap/>
            <w:vAlign w:val="center"/>
            <w:hideMark/>
          </w:tcPr>
          <w:p w14:paraId="45D706A3" w14:textId="5B19E3F3" w:rsidR="007F78F7" w:rsidRPr="004B465C" w:rsidRDefault="007F78F7" w:rsidP="007F78F7">
            <w:pPr>
              <w:jc w:val="right"/>
              <w:rPr>
                <w:rFonts w:asciiTheme="minorHAnsi" w:eastAsia="华文细黑" w:hAnsiTheme="minorHAnsi" w:cs="Arial"/>
                <w:sz w:val="20"/>
                <w:szCs w:val="20"/>
              </w:rPr>
            </w:pPr>
            <w:r w:rsidRPr="004B465C">
              <w:rPr>
                <w:rFonts w:asciiTheme="minorHAnsi" w:eastAsia="华文细黑" w:hAnsiTheme="minorHAnsi" w:cs="Arial"/>
                <w:sz w:val="20"/>
                <w:szCs w:val="20"/>
              </w:rPr>
              <w:t>1.45</w:t>
            </w:r>
          </w:p>
        </w:tc>
        <w:tc>
          <w:tcPr>
            <w:tcW w:w="335" w:type="pct"/>
            <w:tcBorders>
              <w:top w:val="nil"/>
              <w:left w:val="nil"/>
              <w:bottom w:val="single" w:sz="4" w:space="0" w:color="auto"/>
              <w:right w:val="single" w:sz="4" w:space="0" w:color="auto"/>
            </w:tcBorders>
            <w:shd w:val="clear" w:color="auto" w:fill="auto"/>
            <w:noWrap/>
            <w:vAlign w:val="center"/>
            <w:hideMark/>
          </w:tcPr>
          <w:p w14:paraId="65267880" w14:textId="0B4ABD85" w:rsidR="007F78F7" w:rsidRPr="004B465C" w:rsidRDefault="007F78F7" w:rsidP="007F78F7">
            <w:pPr>
              <w:jc w:val="right"/>
              <w:rPr>
                <w:rFonts w:asciiTheme="minorHAnsi" w:eastAsia="华文细黑" w:hAnsiTheme="minorHAnsi" w:cs="Arial"/>
                <w:sz w:val="20"/>
                <w:szCs w:val="20"/>
              </w:rPr>
            </w:pPr>
            <w:r w:rsidRPr="004B465C">
              <w:rPr>
                <w:rFonts w:asciiTheme="minorHAnsi" w:eastAsia="华文细黑" w:hAnsiTheme="minorHAnsi" w:cs="Arial"/>
                <w:sz w:val="20"/>
                <w:szCs w:val="20"/>
              </w:rPr>
              <w:t>1.45</w:t>
            </w:r>
          </w:p>
        </w:tc>
        <w:tc>
          <w:tcPr>
            <w:tcW w:w="335" w:type="pct"/>
            <w:tcBorders>
              <w:top w:val="nil"/>
              <w:left w:val="nil"/>
              <w:bottom w:val="single" w:sz="4" w:space="0" w:color="auto"/>
              <w:right w:val="single" w:sz="4" w:space="0" w:color="auto"/>
            </w:tcBorders>
            <w:shd w:val="clear" w:color="auto" w:fill="auto"/>
            <w:noWrap/>
            <w:vAlign w:val="center"/>
            <w:hideMark/>
          </w:tcPr>
          <w:p w14:paraId="0FE9A5D0" w14:textId="4D553B6E" w:rsidR="007F78F7" w:rsidRPr="004B465C" w:rsidRDefault="007F78F7" w:rsidP="007F78F7">
            <w:pPr>
              <w:jc w:val="right"/>
              <w:rPr>
                <w:rFonts w:asciiTheme="minorHAnsi" w:eastAsia="华文细黑" w:hAnsiTheme="minorHAnsi" w:cs="Arial"/>
                <w:sz w:val="20"/>
                <w:szCs w:val="20"/>
              </w:rPr>
            </w:pPr>
            <w:r w:rsidRPr="004B465C">
              <w:rPr>
                <w:rFonts w:asciiTheme="minorHAnsi" w:eastAsia="华文细黑" w:hAnsiTheme="minorHAnsi" w:cs="Arial"/>
                <w:sz w:val="20"/>
                <w:szCs w:val="20"/>
              </w:rPr>
              <w:t>1.45</w:t>
            </w:r>
          </w:p>
        </w:tc>
        <w:tc>
          <w:tcPr>
            <w:tcW w:w="374" w:type="pct"/>
            <w:tcBorders>
              <w:top w:val="nil"/>
              <w:left w:val="nil"/>
              <w:bottom w:val="single" w:sz="4" w:space="0" w:color="auto"/>
              <w:right w:val="single" w:sz="4" w:space="0" w:color="auto"/>
            </w:tcBorders>
            <w:shd w:val="clear" w:color="auto" w:fill="auto"/>
            <w:noWrap/>
            <w:vAlign w:val="center"/>
            <w:hideMark/>
          </w:tcPr>
          <w:p w14:paraId="118AD1D7" w14:textId="59D5D9EE" w:rsidR="007F78F7" w:rsidRPr="004B465C" w:rsidRDefault="007F78F7" w:rsidP="007F78F7">
            <w:pPr>
              <w:jc w:val="right"/>
              <w:rPr>
                <w:rFonts w:asciiTheme="minorHAnsi" w:eastAsia="华文细黑" w:hAnsiTheme="minorHAnsi" w:cs="Arial"/>
                <w:sz w:val="20"/>
                <w:szCs w:val="20"/>
              </w:rPr>
            </w:pPr>
            <w:r w:rsidRPr="004B465C">
              <w:rPr>
                <w:rFonts w:asciiTheme="minorHAnsi" w:eastAsia="华文细黑" w:hAnsiTheme="minorHAnsi" w:cs="Arial"/>
                <w:sz w:val="20"/>
                <w:szCs w:val="20"/>
              </w:rPr>
              <w:t>1.45</w:t>
            </w:r>
          </w:p>
        </w:tc>
        <w:tc>
          <w:tcPr>
            <w:tcW w:w="374" w:type="pct"/>
            <w:tcBorders>
              <w:top w:val="nil"/>
              <w:left w:val="nil"/>
              <w:bottom w:val="single" w:sz="4" w:space="0" w:color="auto"/>
              <w:right w:val="single" w:sz="4" w:space="0" w:color="auto"/>
            </w:tcBorders>
            <w:shd w:val="clear" w:color="auto" w:fill="auto"/>
            <w:noWrap/>
            <w:vAlign w:val="center"/>
            <w:hideMark/>
          </w:tcPr>
          <w:p w14:paraId="15A0DE34" w14:textId="7C1659AC" w:rsidR="007F78F7" w:rsidRPr="004B465C" w:rsidRDefault="007F78F7" w:rsidP="007F78F7">
            <w:pPr>
              <w:jc w:val="right"/>
              <w:rPr>
                <w:rFonts w:asciiTheme="minorHAnsi" w:eastAsia="华文细黑" w:hAnsiTheme="minorHAnsi" w:cs="Arial"/>
                <w:sz w:val="20"/>
                <w:szCs w:val="20"/>
              </w:rPr>
            </w:pPr>
            <w:r w:rsidRPr="004B465C">
              <w:rPr>
                <w:rFonts w:asciiTheme="minorHAnsi" w:eastAsia="华文细黑" w:hAnsiTheme="minorHAnsi" w:cs="Arial"/>
                <w:sz w:val="20"/>
                <w:szCs w:val="20"/>
              </w:rPr>
              <w:t>1.45</w:t>
            </w:r>
          </w:p>
        </w:tc>
        <w:tc>
          <w:tcPr>
            <w:tcW w:w="615" w:type="pct"/>
            <w:tcBorders>
              <w:top w:val="nil"/>
              <w:left w:val="nil"/>
              <w:bottom w:val="single" w:sz="4" w:space="0" w:color="auto"/>
              <w:right w:val="single" w:sz="4" w:space="0" w:color="auto"/>
            </w:tcBorders>
            <w:shd w:val="clear" w:color="auto" w:fill="auto"/>
            <w:noWrap/>
            <w:vAlign w:val="center"/>
            <w:hideMark/>
          </w:tcPr>
          <w:p w14:paraId="5779341A" w14:textId="007B1001" w:rsidR="007F78F7" w:rsidRPr="004B465C" w:rsidRDefault="007F78F7" w:rsidP="007F78F7">
            <w:pPr>
              <w:jc w:val="right"/>
              <w:rPr>
                <w:rFonts w:asciiTheme="minorHAnsi" w:eastAsia="华文细黑" w:hAnsiTheme="minorHAnsi" w:cs="Arial"/>
                <w:sz w:val="20"/>
                <w:szCs w:val="20"/>
              </w:rPr>
            </w:pPr>
            <w:r w:rsidRPr="004B465C">
              <w:rPr>
                <w:rFonts w:asciiTheme="minorHAnsi" w:eastAsia="华文细黑" w:hAnsiTheme="minorHAnsi" w:cs="Arial"/>
                <w:sz w:val="20"/>
                <w:szCs w:val="20"/>
              </w:rPr>
              <w:t>1.45</w:t>
            </w:r>
          </w:p>
        </w:tc>
      </w:tr>
    </w:tbl>
    <w:p w14:paraId="62C9BC18" w14:textId="77777777" w:rsidR="000D1B9A" w:rsidRPr="007072FB" w:rsidRDefault="00000000">
      <w:pPr>
        <w:spacing w:before="120" w:after="120" w:line="360" w:lineRule="auto"/>
        <w:ind w:firstLine="454"/>
        <w:jc w:val="both"/>
        <w:rPr>
          <w:rFonts w:ascii="Verdana" w:eastAsia="华文细黑" w:hAnsi="Verdana" w:cs="Calibri"/>
          <w:lang w:val="en-GB"/>
        </w:rPr>
      </w:pPr>
      <w:r w:rsidRPr="007072FB">
        <w:rPr>
          <w:rFonts w:ascii="Verdana" w:eastAsia="华文细黑" w:hAnsi="Verdana" w:cs="Calibri"/>
          <w:lang w:val="en-GB"/>
        </w:rPr>
        <w:t>总体而言，本项目产生收入对其拟使用的募集资金保障程度较高。同时，因本项目还本付息资金主要来源于项目运营收入，建议进一步关注项目施工进度、项目选点的变化、政府定价风险、宏观经济以及利率等影响项目收益情况的风险要素。若未能实现收入计划，不能偿还到期债券本金，可在专项债务限额内以及满足覆盖倍数的情况下发行专项债券周转偿还，进而在项目收入实现后予以归还，或者通过追加自筹资金等方式来满足还本付息要求。</w:t>
      </w:r>
    </w:p>
    <w:p w14:paraId="7041CBAB" w14:textId="106457EA" w:rsidR="000D1B9A" w:rsidRPr="007072FB" w:rsidRDefault="00000000">
      <w:pPr>
        <w:spacing w:before="120" w:after="120" w:line="360" w:lineRule="auto"/>
        <w:jc w:val="both"/>
        <w:outlineLvl w:val="0"/>
        <w:rPr>
          <w:rFonts w:ascii="Verdana" w:eastAsia="华文细黑" w:hAnsi="Verdana" w:cs="Calibri"/>
          <w:b/>
          <w:sz w:val="32"/>
          <w:szCs w:val="32"/>
        </w:rPr>
      </w:pPr>
      <w:bookmarkStart w:id="75" w:name="_Toc135044152"/>
      <w:r w:rsidRPr="007072FB">
        <w:rPr>
          <w:rFonts w:ascii="Verdana" w:eastAsia="华文细黑" w:hAnsi="Verdana" w:cs="Calibri"/>
          <w:b/>
          <w:sz w:val="32"/>
          <w:szCs w:val="32"/>
        </w:rPr>
        <w:t>五、评</w:t>
      </w:r>
      <w:r w:rsidR="009449E4">
        <w:rPr>
          <w:rFonts w:ascii="Verdana" w:eastAsia="华文细黑" w:hAnsi="Verdana" w:cs="Calibri" w:hint="eastAsia"/>
          <w:b/>
          <w:sz w:val="32"/>
          <w:szCs w:val="32"/>
        </w:rPr>
        <w:t>价</w:t>
      </w:r>
      <w:r w:rsidRPr="007072FB">
        <w:rPr>
          <w:rFonts w:ascii="Verdana" w:eastAsia="华文细黑" w:hAnsi="Verdana" w:cs="Calibri"/>
          <w:b/>
          <w:sz w:val="32"/>
          <w:szCs w:val="32"/>
        </w:rPr>
        <w:t>结论</w:t>
      </w:r>
      <w:bookmarkEnd w:id="75"/>
    </w:p>
    <w:p w14:paraId="272F4EFE" w14:textId="7F737AC3" w:rsidR="000D1B9A" w:rsidRPr="007072FB" w:rsidRDefault="00000000">
      <w:pPr>
        <w:spacing w:before="120" w:after="120" w:line="360" w:lineRule="auto"/>
        <w:ind w:firstLine="510"/>
        <w:jc w:val="both"/>
        <w:rPr>
          <w:rFonts w:ascii="Verdana" w:eastAsia="华文细黑" w:hAnsi="Verdana" w:cs="Calibri"/>
          <w:color w:val="000000"/>
        </w:rPr>
      </w:pPr>
      <w:r w:rsidRPr="007072FB">
        <w:rPr>
          <w:rFonts w:ascii="Verdana" w:eastAsia="华文细黑" w:hAnsi="Verdana" w:cs="Calibri"/>
          <w:color w:val="000000"/>
        </w:rPr>
        <w:t>基于财政部对地方政府发行专项债券的要求，本项目可以通过</w:t>
      </w:r>
      <w:r w:rsidR="00996784" w:rsidRPr="007072FB">
        <w:rPr>
          <w:rFonts w:ascii="Verdana" w:eastAsia="华文细黑" w:hAnsi="Verdana" w:cs="Calibri"/>
          <w:color w:val="000000"/>
        </w:rPr>
        <w:t>调剂和发行</w:t>
      </w:r>
      <w:r w:rsidRPr="007072FB">
        <w:rPr>
          <w:rFonts w:ascii="Verdana" w:eastAsia="华文细黑" w:hAnsi="Verdana" w:cs="Calibri"/>
          <w:color w:val="000000"/>
        </w:rPr>
        <w:t>专项债券的方式进行融资以完成资金筹措，并以</w:t>
      </w:r>
      <w:r w:rsidRPr="007072FB">
        <w:rPr>
          <w:rFonts w:ascii="Verdana" w:eastAsia="华文细黑" w:hAnsi="Verdana" w:cs="Calibri"/>
          <w:lang w:val="en-GB"/>
        </w:rPr>
        <w:t>项目运营收入</w:t>
      </w:r>
      <w:r w:rsidRPr="007072FB">
        <w:rPr>
          <w:rFonts w:ascii="Verdana" w:eastAsia="华文细黑" w:hAnsi="Verdana" w:cs="Calibri"/>
          <w:color w:val="000000"/>
        </w:rPr>
        <w:t>所对应的充足、稳定现</w:t>
      </w:r>
      <w:r w:rsidRPr="007072FB">
        <w:rPr>
          <w:rFonts w:ascii="Verdana" w:eastAsia="华文细黑" w:hAnsi="Verdana" w:cs="Calibri"/>
          <w:color w:val="000000"/>
        </w:rPr>
        <w:lastRenderedPageBreak/>
        <w:t>金</w:t>
      </w:r>
      <w:proofErr w:type="gramStart"/>
      <w:r w:rsidRPr="007072FB">
        <w:rPr>
          <w:rFonts w:ascii="Verdana" w:eastAsia="华文细黑" w:hAnsi="Verdana" w:cs="Calibri"/>
          <w:color w:val="000000"/>
        </w:rPr>
        <w:t>流作为</w:t>
      </w:r>
      <w:proofErr w:type="gramEnd"/>
      <w:r w:rsidRPr="007072FB">
        <w:rPr>
          <w:rFonts w:ascii="Verdana" w:eastAsia="华文细黑" w:hAnsi="Verdana" w:cs="Calibri"/>
          <w:color w:val="000000"/>
        </w:rPr>
        <w:t>还本付息的资金来源。通过对本项目收益与融资自求平衡情况的分析，我们未注意到</w:t>
      </w:r>
      <w:proofErr w:type="gramStart"/>
      <w:r w:rsidRPr="007072FB">
        <w:rPr>
          <w:rFonts w:ascii="Verdana" w:eastAsia="华文细黑" w:hAnsi="Verdana" w:cs="Calibri"/>
          <w:color w:val="000000"/>
        </w:rPr>
        <w:t>本期专项</w:t>
      </w:r>
      <w:proofErr w:type="gramEnd"/>
      <w:r w:rsidRPr="007072FB">
        <w:rPr>
          <w:rFonts w:ascii="Verdana" w:eastAsia="华文细黑" w:hAnsi="Verdana" w:cs="Calibri"/>
          <w:color w:val="000000"/>
        </w:rPr>
        <w:t>债券存续期内出现无法满足专项债券还本付息要求的情况。</w:t>
      </w:r>
    </w:p>
    <w:p w14:paraId="5CF62117" w14:textId="0C399623" w:rsidR="000D1B9A" w:rsidRPr="007072FB" w:rsidRDefault="00000000">
      <w:pPr>
        <w:spacing w:before="120" w:after="120" w:line="360" w:lineRule="auto"/>
        <w:ind w:firstLine="510"/>
        <w:jc w:val="both"/>
        <w:rPr>
          <w:rFonts w:ascii="Verdana" w:eastAsia="华文细黑" w:hAnsi="Verdana" w:cs="Calibri"/>
          <w:color w:val="000000"/>
        </w:rPr>
      </w:pPr>
      <w:r w:rsidRPr="007072FB">
        <w:rPr>
          <w:rFonts w:ascii="Verdana" w:eastAsia="华文细黑" w:hAnsi="Verdana" w:cs="Calibri"/>
          <w:color w:val="000000"/>
        </w:rPr>
        <w:t>综上所述，通过</w:t>
      </w:r>
      <w:r w:rsidR="00996784" w:rsidRPr="007072FB">
        <w:rPr>
          <w:rFonts w:ascii="Verdana" w:eastAsia="华文细黑" w:hAnsi="Verdana" w:cs="Calibri"/>
          <w:color w:val="000000"/>
        </w:rPr>
        <w:t>调剂</w:t>
      </w:r>
      <w:r w:rsidRPr="007072FB">
        <w:rPr>
          <w:rFonts w:ascii="Verdana" w:eastAsia="华文细黑" w:hAnsi="Verdana" w:cs="Calibri"/>
          <w:color w:val="000000"/>
        </w:rPr>
        <w:t>地方政府专项债券的方式，满足本项目专项债券的资金需求，应是现阶段符合项目情况的资金解决方案。</w:t>
      </w:r>
    </w:p>
    <w:p w14:paraId="69605FBF" w14:textId="77777777" w:rsidR="000D1B9A" w:rsidRPr="007072FB" w:rsidRDefault="00000000">
      <w:pPr>
        <w:spacing w:after="160" w:line="259" w:lineRule="auto"/>
        <w:rPr>
          <w:rFonts w:ascii="Verdana" w:eastAsia="华文细黑" w:hAnsi="Verdana" w:cs="Calibri"/>
          <w:color w:val="000000"/>
        </w:rPr>
      </w:pPr>
      <w:r w:rsidRPr="007072FB">
        <w:rPr>
          <w:rFonts w:ascii="Verdana" w:eastAsia="华文细黑" w:hAnsi="Verdana" w:cs="Calibri"/>
          <w:color w:val="000000"/>
        </w:rPr>
        <w:br w:type="page"/>
      </w:r>
    </w:p>
    <w:p w14:paraId="31460DE9" w14:textId="77777777" w:rsidR="000D1B9A" w:rsidRPr="007072FB" w:rsidRDefault="00000000">
      <w:pPr>
        <w:spacing w:before="120" w:after="120" w:line="360" w:lineRule="auto"/>
        <w:jc w:val="both"/>
        <w:outlineLvl w:val="0"/>
        <w:rPr>
          <w:rFonts w:ascii="Verdana" w:eastAsia="华文细黑" w:hAnsi="Verdana" w:cs="Calibri"/>
          <w:b/>
          <w:sz w:val="32"/>
          <w:szCs w:val="32"/>
        </w:rPr>
      </w:pPr>
      <w:bookmarkStart w:id="76" w:name="_Toc135044153"/>
      <w:bookmarkStart w:id="77" w:name="_Toc38918457"/>
      <w:r w:rsidRPr="007072FB">
        <w:rPr>
          <w:rFonts w:ascii="Verdana" w:eastAsia="华文细黑" w:hAnsi="Verdana" w:cs="Calibri"/>
          <w:b/>
          <w:sz w:val="32"/>
          <w:szCs w:val="32"/>
        </w:rPr>
        <w:lastRenderedPageBreak/>
        <w:t>附件</w:t>
      </w:r>
      <w:r w:rsidRPr="007072FB">
        <w:rPr>
          <w:rFonts w:ascii="Verdana" w:eastAsia="华文细黑" w:hAnsi="Verdana" w:cs="Calibri"/>
          <w:b/>
          <w:sz w:val="32"/>
          <w:szCs w:val="32"/>
        </w:rPr>
        <w:t>1</w:t>
      </w:r>
      <w:r w:rsidRPr="007072FB">
        <w:rPr>
          <w:rFonts w:ascii="Verdana" w:eastAsia="华文细黑" w:hAnsi="Verdana" w:cs="Calibri"/>
          <w:b/>
          <w:sz w:val="32"/>
          <w:szCs w:val="32"/>
        </w:rPr>
        <w:t>：预期收益及成本分析</w:t>
      </w:r>
      <w:bookmarkEnd w:id="76"/>
    </w:p>
    <w:p w14:paraId="67907038" w14:textId="77777777" w:rsidR="000D1B9A" w:rsidRPr="007072FB" w:rsidRDefault="00000000">
      <w:pPr>
        <w:spacing w:before="120" w:after="120" w:line="360" w:lineRule="auto"/>
        <w:ind w:firstLine="454"/>
        <w:jc w:val="both"/>
        <w:rPr>
          <w:rFonts w:ascii="Verdana" w:eastAsia="华文细黑" w:hAnsi="Verdana" w:cs="Calibri"/>
          <w:color w:val="000000"/>
        </w:rPr>
      </w:pPr>
      <w:r w:rsidRPr="007072FB">
        <w:rPr>
          <w:rFonts w:ascii="Verdana" w:eastAsia="华文细黑" w:hAnsi="Verdana" w:cs="Calibri"/>
          <w:color w:val="000000"/>
        </w:rPr>
        <w:t>本项目专项债券以经营收益为还本付息基础，</w:t>
      </w:r>
      <w:bookmarkStart w:id="78" w:name="_Hlk150181479"/>
      <w:r w:rsidRPr="007072FB">
        <w:rPr>
          <w:rFonts w:ascii="Verdana" w:eastAsia="华文细黑" w:hAnsi="Verdana" w:cs="Calibri"/>
          <w:color w:val="000000"/>
        </w:rPr>
        <w:t>收入来源主要为自来水销售收入</w:t>
      </w:r>
      <w:bookmarkEnd w:id="78"/>
      <w:r w:rsidRPr="007072FB">
        <w:rPr>
          <w:rFonts w:ascii="Verdana" w:eastAsia="华文细黑" w:hAnsi="Verdana" w:cs="Calibri"/>
          <w:color w:val="000000"/>
        </w:rPr>
        <w:t>，</w:t>
      </w:r>
      <w:bookmarkStart w:id="79" w:name="_Hlk150181582"/>
      <w:r w:rsidRPr="007072FB">
        <w:rPr>
          <w:rFonts w:ascii="Verdana" w:eastAsia="华文细黑" w:hAnsi="Verdana" w:cs="Calibri"/>
          <w:color w:val="000000"/>
        </w:rPr>
        <w:t>运营成本由财政补贴覆盖，故本项目运营期内暂不考虑运营成本。</w:t>
      </w:r>
    </w:p>
    <w:p w14:paraId="2B2E069C" w14:textId="77777777" w:rsidR="000D1B9A" w:rsidRPr="007072FB" w:rsidRDefault="00000000">
      <w:pPr>
        <w:spacing w:before="120" w:after="120" w:line="360" w:lineRule="auto"/>
        <w:ind w:firstLine="454"/>
        <w:jc w:val="both"/>
        <w:rPr>
          <w:rFonts w:ascii="Verdana" w:eastAsia="华文细黑" w:hAnsi="Verdana" w:cs="Calibri"/>
          <w:color w:val="000000"/>
        </w:rPr>
      </w:pPr>
      <w:bookmarkStart w:id="80" w:name="_Hlk150181502"/>
      <w:bookmarkEnd w:id="79"/>
      <w:r w:rsidRPr="007072FB">
        <w:rPr>
          <w:rFonts w:ascii="Verdana" w:eastAsia="华文细黑" w:hAnsi="Verdana" w:cs="Calibri"/>
          <w:color w:val="000000"/>
        </w:rPr>
        <w:t>根据《三亚市发展和改革委员会关于三亚市农垦居供水工程项目立项的批复》（三发改农经</w:t>
      </w:r>
      <w:r w:rsidRPr="007072FB">
        <w:rPr>
          <w:rFonts w:ascii="Verdana" w:eastAsia="华文细黑" w:hAnsi="Verdana" w:cs="Calibri"/>
        </w:rPr>
        <w:t>〔</w:t>
      </w:r>
      <w:r w:rsidRPr="007072FB">
        <w:rPr>
          <w:rFonts w:ascii="Verdana" w:eastAsia="华文细黑" w:hAnsi="Verdana" w:cs="Calibri"/>
        </w:rPr>
        <w:t>2020</w:t>
      </w:r>
      <w:r w:rsidRPr="007072FB">
        <w:rPr>
          <w:rFonts w:ascii="Verdana" w:eastAsia="华文细黑" w:hAnsi="Verdana" w:cs="Calibri"/>
        </w:rPr>
        <w:t>〕</w:t>
      </w:r>
      <w:r w:rsidRPr="007072FB">
        <w:rPr>
          <w:rFonts w:ascii="Verdana" w:eastAsia="华文细黑" w:hAnsi="Verdana" w:cs="Calibri"/>
          <w:color w:val="000000"/>
        </w:rPr>
        <w:t>174</w:t>
      </w:r>
      <w:r w:rsidRPr="007072FB">
        <w:rPr>
          <w:rFonts w:ascii="Verdana" w:eastAsia="华文细黑" w:hAnsi="Verdana" w:cs="Calibri"/>
          <w:color w:val="000000"/>
        </w:rPr>
        <w:t>号），项目拟新建管径</w:t>
      </w:r>
      <w:r w:rsidRPr="007072FB">
        <w:rPr>
          <w:rFonts w:ascii="Verdana" w:eastAsia="华文细黑" w:hAnsi="Verdana" w:cs="Calibri"/>
          <w:color w:val="000000"/>
        </w:rPr>
        <w:t>DN600~DN20</w:t>
      </w:r>
      <w:r w:rsidRPr="007072FB">
        <w:rPr>
          <w:rFonts w:ascii="Verdana" w:eastAsia="华文细黑" w:hAnsi="Verdana" w:cs="Calibri"/>
          <w:color w:val="000000"/>
        </w:rPr>
        <w:t>给水管道总长</w:t>
      </w:r>
      <w:r w:rsidRPr="007072FB">
        <w:rPr>
          <w:rFonts w:ascii="Verdana" w:eastAsia="华文细黑" w:hAnsi="Verdana" w:cs="Calibri"/>
          <w:color w:val="000000"/>
        </w:rPr>
        <w:t>1,108.299km</w:t>
      </w:r>
      <w:r w:rsidRPr="007072FB">
        <w:rPr>
          <w:rFonts w:ascii="Verdana" w:eastAsia="华文细黑" w:hAnsi="Verdana" w:cs="Calibri"/>
          <w:color w:val="000000"/>
        </w:rPr>
        <w:t>。其中</w:t>
      </w:r>
      <w:r w:rsidRPr="007072FB">
        <w:rPr>
          <w:rFonts w:ascii="Verdana" w:eastAsia="华文细黑" w:hAnsi="Verdana" w:cs="Calibri"/>
          <w:color w:val="000000"/>
        </w:rPr>
        <w:t>DN600</w:t>
      </w:r>
      <w:r w:rsidRPr="007072FB">
        <w:rPr>
          <w:rFonts w:ascii="Verdana" w:eastAsia="华文细黑" w:hAnsi="Verdana" w:cs="Calibri"/>
          <w:color w:val="000000"/>
        </w:rPr>
        <w:t>球墨铸铁管道</w:t>
      </w:r>
      <w:r w:rsidRPr="007072FB">
        <w:rPr>
          <w:rFonts w:ascii="Verdana" w:eastAsia="华文细黑" w:hAnsi="Verdana" w:cs="Calibri"/>
          <w:color w:val="000000"/>
        </w:rPr>
        <w:t>2.600km</w:t>
      </w:r>
      <w:r w:rsidRPr="007072FB">
        <w:rPr>
          <w:rFonts w:ascii="Verdana" w:eastAsia="华文细黑" w:hAnsi="Verdana" w:cs="Calibri"/>
          <w:color w:val="000000"/>
        </w:rPr>
        <w:t>、</w:t>
      </w:r>
      <w:r w:rsidRPr="007072FB">
        <w:rPr>
          <w:rFonts w:ascii="Verdana" w:eastAsia="华文细黑" w:hAnsi="Verdana" w:cs="Calibri"/>
          <w:color w:val="000000"/>
        </w:rPr>
        <w:t>DN500</w:t>
      </w:r>
      <w:r w:rsidRPr="007072FB">
        <w:rPr>
          <w:rFonts w:ascii="Verdana" w:eastAsia="华文细黑" w:hAnsi="Verdana" w:cs="Calibri"/>
          <w:color w:val="000000"/>
        </w:rPr>
        <w:t>球墨铸铁管道</w:t>
      </w:r>
      <w:r w:rsidRPr="007072FB">
        <w:rPr>
          <w:rFonts w:ascii="Verdana" w:eastAsia="华文细黑" w:hAnsi="Verdana" w:cs="Calibri"/>
          <w:color w:val="000000"/>
        </w:rPr>
        <w:t>1.703km</w:t>
      </w:r>
      <w:r w:rsidRPr="007072FB">
        <w:rPr>
          <w:rFonts w:ascii="Verdana" w:eastAsia="华文细黑" w:hAnsi="Verdana" w:cs="Calibri"/>
          <w:color w:val="000000"/>
        </w:rPr>
        <w:t>、</w:t>
      </w:r>
      <w:r w:rsidRPr="007072FB">
        <w:rPr>
          <w:rFonts w:ascii="Verdana" w:eastAsia="华文细黑" w:hAnsi="Verdana" w:cs="Calibri"/>
          <w:color w:val="000000"/>
        </w:rPr>
        <w:t>DN400</w:t>
      </w:r>
      <w:r w:rsidRPr="007072FB">
        <w:rPr>
          <w:rFonts w:ascii="Verdana" w:eastAsia="华文细黑" w:hAnsi="Verdana" w:cs="Calibri"/>
          <w:color w:val="000000"/>
        </w:rPr>
        <w:t>球墨铸铁管道</w:t>
      </w:r>
      <w:r w:rsidRPr="007072FB">
        <w:rPr>
          <w:rFonts w:ascii="Verdana" w:eastAsia="华文细黑" w:hAnsi="Verdana" w:cs="Calibri"/>
          <w:color w:val="000000"/>
        </w:rPr>
        <w:t>12.307km</w:t>
      </w:r>
      <w:r w:rsidRPr="007072FB">
        <w:rPr>
          <w:rFonts w:ascii="Verdana" w:eastAsia="华文细黑" w:hAnsi="Verdana" w:cs="Calibri"/>
          <w:color w:val="000000"/>
        </w:rPr>
        <w:t>、</w:t>
      </w:r>
      <w:r w:rsidRPr="007072FB">
        <w:rPr>
          <w:rFonts w:ascii="Verdana" w:eastAsia="华文细黑" w:hAnsi="Verdana" w:cs="Calibri"/>
          <w:color w:val="000000"/>
        </w:rPr>
        <w:t>DN300</w:t>
      </w:r>
      <w:r w:rsidRPr="007072FB">
        <w:rPr>
          <w:rFonts w:ascii="Verdana" w:eastAsia="华文细黑" w:hAnsi="Verdana" w:cs="Calibri"/>
          <w:color w:val="000000"/>
        </w:rPr>
        <w:t>球墨铸铁管道</w:t>
      </w:r>
      <w:r w:rsidRPr="007072FB">
        <w:rPr>
          <w:rFonts w:ascii="Verdana" w:eastAsia="华文细黑" w:hAnsi="Verdana" w:cs="Calibri"/>
          <w:color w:val="000000"/>
        </w:rPr>
        <w:t>9.270km</w:t>
      </w:r>
      <w:r w:rsidRPr="007072FB">
        <w:rPr>
          <w:rFonts w:ascii="Verdana" w:eastAsia="华文细黑" w:hAnsi="Verdana" w:cs="Calibri"/>
          <w:color w:val="000000"/>
        </w:rPr>
        <w:t>、</w:t>
      </w:r>
      <w:r w:rsidRPr="007072FB">
        <w:rPr>
          <w:rFonts w:ascii="Verdana" w:eastAsia="华文细黑" w:hAnsi="Verdana" w:cs="Calibri"/>
          <w:color w:val="000000"/>
        </w:rPr>
        <w:t>DN250</w:t>
      </w:r>
      <w:r w:rsidRPr="007072FB">
        <w:rPr>
          <w:rFonts w:ascii="Verdana" w:eastAsia="华文细黑" w:hAnsi="Verdana" w:cs="Calibri"/>
          <w:color w:val="000000"/>
        </w:rPr>
        <w:t>球墨铸铁管道</w:t>
      </w:r>
      <w:r w:rsidRPr="007072FB">
        <w:rPr>
          <w:rFonts w:ascii="Verdana" w:eastAsia="华文细黑" w:hAnsi="Verdana" w:cs="Calibri"/>
          <w:color w:val="000000"/>
        </w:rPr>
        <w:t>13.089km</w:t>
      </w:r>
      <w:r w:rsidRPr="007072FB">
        <w:rPr>
          <w:rFonts w:ascii="Verdana" w:eastAsia="华文细黑" w:hAnsi="Verdana" w:cs="Calibri"/>
          <w:color w:val="000000"/>
        </w:rPr>
        <w:t>、</w:t>
      </w:r>
      <w:r w:rsidRPr="007072FB">
        <w:rPr>
          <w:rFonts w:ascii="Verdana" w:eastAsia="华文细黑" w:hAnsi="Verdana" w:cs="Calibri"/>
          <w:color w:val="000000"/>
        </w:rPr>
        <w:t>DN200</w:t>
      </w:r>
      <w:r w:rsidRPr="007072FB">
        <w:rPr>
          <w:rFonts w:ascii="Verdana" w:eastAsia="华文细黑" w:hAnsi="Verdana" w:cs="Calibri"/>
          <w:color w:val="000000"/>
        </w:rPr>
        <w:t>球墨铸铁管道</w:t>
      </w:r>
      <w:r w:rsidRPr="007072FB">
        <w:rPr>
          <w:rFonts w:ascii="Verdana" w:eastAsia="华文细黑" w:hAnsi="Verdana" w:cs="Calibri"/>
          <w:color w:val="000000"/>
        </w:rPr>
        <w:t>22.143km</w:t>
      </w:r>
      <w:r w:rsidRPr="007072FB">
        <w:rPr>
          <w:rFonts w:ascii="Verdana" w:eastAsia="华文细黑" w:hAnsi="Verdana" w:cs="Calibri"/>
          <w:color w:val="000000"/>
        </w:rPr>
        <w:t>、</w:t>
      </w:r>
      <w:r w:rsidRPr="007072FB">
        <w:rPr>
          <w:rFonts w:ascii="Verdana" w:eastAsia="华文细黑" w:hAnsi="Verdana" w:cs="Calibri"/>
          <w:color w:val="000000"/>
        </w:rPr>
        <w:t>DN150</w:t>
      </w:r>
      <w:r w:rsidRPr="007072FB">
        <w:rPr>
          <w:rFonts w:ascii="Verdana" w:eastAsia="华文细黑" w:hAnsi="Verdana" w:cs="Calibri"/>
          <w:color w:val="000000"/>
        </w:rPr>
        <w:t>球墨铸铁管道长</w:t>
      </w:r>
      <w:r w:rsidRPr="007072FB">
        <w:rPr>
          <w:rFonts w:ascii="Verdana" w:eastAsia="华文细黑" w:hAnsi="Verdana" w:cs="Calibri"/>
          <w:color w:val="000000"/>
        </w:rPr>
        <w:t>48.627km</w:t>
      </w:r>
      <w:r w:rsidRPr="007072FB">
        <w:rPr>
          <w:rFonts w:ascii="Verdana" w:eastAsia="华文细黑" w:hAnsi="Verdana" w:cs="Calibri"/>
          <w:color w:val="000000"/>
        </w:rPr>
        <w:t>、给水钢管</w:t>
      </w:r>
      <w:r w:rsidRPr="007072FB">
        <w:rPr>
          <w:rFonts w:ascii="Verdana" w:eastAsia="华文细黑" w:hAnsi="Verdana" w:cs="Calibri"/>
          <w:color w:val="000000"/>
        </w:rPr>
        <w:t>D159x4.5mm</w:t>
      </w:r>
      <w:r w:rsidRPr="007072FB">
        <w:rPr>
          <w:rFonts w:ascii="Verdana" w:eastAsia="华文细黑" w:hAnsi="Verdana" w:cs="Calibri"/>
          <w:color w:val="000000"/>
        </w:rPr>
        <w:t>长度</w:t>
      </w:r>
      <w:r w:rsidRPr="007072FB">
        <w:rPr>
          <w:rFonts w:ascii="Verdana" w:eastAsia="华文细黑" w:hAnsi="Verdana" w:cs="Calibri"/>
          <w:color w:val="000000"/>
        </w:rPr>
        <w:t>2.970km</w:t>
      </w:r>
      <w:r w:rsidRPr="007072FB">
        <w:rPr>
          <w:rFonts w:ascii="Verdana" w:eastAsia="华文细黑" w:hAnsi="Verdana" w:cs="Calibri"/>
          <w:color w:val="000000"/>
        </w:rPr>
        <w:t>、</w:t>
      </w:r>
      <w:r w:rsidRPr="007072FB">
        <w:rPr>
          <w:rFonts w:ascii="Verdana" w:eastAsia="华文细黑" w:hAnsi="Verdana" w:cs="Calibri"/>
          <w:color w:val="000000"/>
        </w:rPr>
        <w:t>DN100</w:t>
      </w:r>
      <w:r w:rsidRPr="007072FB">
        <w:rPr>
          <w:rFonts w:ascii="Verdana" w:eastAsia="华文细黑" w:hAnsi="Verdana" w:cs="Calibri"/>
          <w:color w:val="000000"/>
        </w:rPr>
        <w:t>球墨铸铁管道长</w:t>
      </w:r>
      <w:r w:rsidRPr="007072FB">
        <w:rPr>
          <w:rFonts w:ascii="Verdana" w:eastAsia="华文细黑" w:hAnsi="Verdana" w:cs="Calibri"/>
          <w:color w:val="000000"/>
        </w:rPr>
        <w:t>61.624km</w:t>
      </w:r>
      <w:r w:rsidRPr="007072FB">
        <w:rPr>
          <w:rFonts w:ascii="Verdana" w:eastAsia="华文细黑" w:hAnsi="Verdana" w:cs="Calibri"/>
          <w:color w:val="000000"/>
        </w:rPr>
        <w:t>、给水钢管</w:t>
      </w:r>
      <w:r w:rsidRPr="007072FB">
        <w:rPr>
          <w:rFonts w:ascii="Verdana" w:eastAsia="华文细黑" w:hAnsi="Verdana" w:cs="Calibri"/>
          <w:color w:val="000000"/>
        </w:rPr>
        <w:t>D108x4.0mm</w:t>
      </w:r>
      <w:r w:rsidRPr="007072FB">
        <w:rPr>
          <w:rFonts w:ascii="Verdana" w:eastAsia="华文细黑" w:hAnsi="Verdana" w:cs="Calibri"/>
          <w:color w:val="000000"/>
        </w:rPr>
        <w:t>长度</w:t>
      </w:r>
      <w:r w:rsidRPr="007072FB">
        <w:rPr>
          <w:rFonts w:ascii="Verdana" w:eastAsia="华文细黑" w:hAnsi="Verdana" w:cs="Calibri"/>
          <w:color w:val="000000"/>
        </w:rPr>
        <w:t>5.780km</w:t>
      </w:r>
      <w:r w:rsidRPr="007072FB">
        <w:rPr>
          <w:rFonts w:ascii="Verdana" w:eastAsia="华文细黑" w:hAnsi="Verdana" w:cs="Calibri"/>
          <w:color w:val="000000"/>
        </w:rPr>
        <w:t>、</w:t>
      </w:r>
      <w:r w:rsidRPr="007072FB">
        <w:rPr>
          <w:rFonts w:ascii="Verdana" w:eastAsia="华文细黑" w:hAnsi="Verdana" w:cs="Calibri"/>
          <w:color w:val="000000"/>
        </w:rPr>
        <w:t>DN80</w:t>
      </w:r>
      <w:r w:rsidRPr="007072FB">
        <w:rPr>
          <w:rFonts w:ascii="Verdana" w:eastAsia="华文细黑" w:hAnsi="Verdana" w:cs="Calibri"/>
          <w:color w:val="000000"/>
        </w:rPr>
        <w:t>钢塑管</w:t>
      </w:r>
      <w:r w:rsidRPr="007072FB">
        <w:rPr>
          <w:rFonts w:ascii="Verdana" w:eastAsia="华文细黑" w:hAnsi="Verdana" w:cs="Calibri"/>
          <w:color w:val="000000"/>
        </w:rPr>
        <w:t>110.724km</w:t>
      </w:r>
      <w:r w:rsidRPr="007072FB">
        <w:rPr>
          <w:rFonts w:ascii="Verdana" w:eastAsia="华文细黑" w:hAnsi="Verdana" w:cs="Calibri"/>
          <w:color w:val="000000"/>
        </w:rPr>
        <w:t>、</w:t>
      </w:r>
      <w:r w:rsidRPr="007072FB">
        <w:rPr>
          <w:rFonts w:ascii="Verdana" w:eastAsia="华文细黑" w:hAnsi="Verdana" w:cs="Calibri"/>
          <w:color w:val="000000"/>
        </w:rPr>
        <w:t>DN65</w:t>
      </w:r>
      <w:r w:rsidRPr="007072FB">
        <w:rPr>
          <w:rFonts w:ascii="Verdana" w:eastAsia="华文细黑" w:hAnsi="Verdana" w:cs="Calibri"/>
          <w:color w:val="000000"/>
        </w:rPr>
        <w:t>钢塑管</w:t>
      </w:r>
      <w:r w:rsidRPr="007072FB">
        <w:rPr>
          <w:rFonts w:ascii="Verdana" w:eastAsia="华文细黑" w:hAnsi="Verdana" w:cs="Calibri"/>
          <w:color w:val="000000"/>
        </w:rPr>
        <w:t>20.297km</w:t>
      </w:r>
      <w:r w:rsidRPr="007072FB">
        <w:rPr>
          <w:rFonts w:ascii="Verdana" w:eastAsia="华文细黑" w:hAnsi="Verdana" w:cs="Calibri"/>
          <w:color w:val="000000"/>
        </w:rPr>
        <w:t>、</w:t>
      </w:r>
      <w:r w:rsidRPr="007072FB">
        <w:rPr>
          <w:rFonts w:ascii="Verdana" w:eastAsia="华文细黑" w:hAnsi="Verdana" w:cs="Calibri"/>
          <w:color w:val="000000"/>
        </w:rPr>
        <w:t>DN50</w:t>
      </w:r>
      <w:r w:rsidRPr="007072FB">
        <w:rPr>
          <w:rFonts w:ascii="Verdana" w:eastAsia="华文细黑" w:hAnsi="Verdana" w:cs="Calibri"/>
          <w:color w:val="000000"/>
        </w:rPr>
        <w:t>钢塑管</w:t>
      </w:r>
      <w:r w:rsidRPr="007072FB">
        <w:rPr>
          <w:rFonts w:ascii="Verdana" w:eastAsia="华文细黑" w:hAnsi="Verdana" w:cs="Calibri"/>
          <w:color w:val="000000"/>
        </w:rPr>
        <w:t>111.683km</w:t>
      </w:r>
      <w:r w:rsidRPr="007072FB">
        <w:rPr>
          <w:rFonts w:ascii="Verdana" w:eastAsia="华文细黑" w:hAnsi="Verdana" w:cs="Calibri"/>
          <w:color w:val="000000"/>
        </w:rPr>
        <w:t>、给水钢管</w:t>
      </w:r>
      <w:r w:rsidRPr="007072FB">
        <w:rPr>
          <w:rFonts w:ascii="Verdana" w:eastAsia="华文细黑" w:hAnsi="Verdana" w:cs="Calibri"/>
          <w:color w:val="000000"/>
        </w:rPr>
        <w:t>D57x3.5mm</w:t>
      </w:r>
      <w:r w:rsidRPr="007072FB">
        <w:rPr>
          <w:rFonts w:ascii="Verdana" w:eastAsia="华文细黑" w:hAnsi="Verdana" w:cs="Calibri"/>
          <w:color w:val="000000"/>
        </w:rPr>
        <w:t>长度</w:t>
      </w:r>
      <w:r w:rsidRPr="007072FB">
        <w:rPr>
          <w:rFonts w:ascii="Verdana" w:eastAsia="华文细黑" w:hAnsi="Verdana" w:cs="Calibri"/>
          <w:color w:val="000000"/>
        </w:rPr>
        <w:t>1.270km</w:t>
      </w:r>
      <w:r w:rsidRPr="007072FB">
        <w:rPr>
          <w:rFonts w:ascii="Verdana" w:eastAsia="华文细黑" w:hAnsi="Verdana" w:cs="Calibri"/>
          <w:color w:val="000000"/>
        </w:rPr>
        <w:t>、</w:t>
      </w:r>
      <w:r w:rsidRPr="007072FB">
        <w:rPr>
          <w:rFonts w:ascii="Verdana" w:eastAsia="华文细黑" w:hAnsi="Verdana" w:cs="Calibri"/>
          <w:color w:val="000000"/>
        </w:rPr>
        <w:t>DN40</w:t>
      </w:r>
      <w:r w:rsidRPr="007072FB">
        <w:rPr>
          <w:rFonts w:ascii="Verdana" w:eastAsia="华文细黑" w:hAnsi="Verdana" w:cs="Calibri"/>
          <w:color w:val="000000"/>
        </w:rPr>
        <w:t>钢塑管</w:t>
      </w:r>
      <w:r w:rsidRPr="007072FB">
        <w:rPr>
          <w:rFonts w:ascii="Verdana" w:eastAsia="华文细黑" w:hAnsi="Verdana" w:cs="Calibri"/>
          <w:color w:val="000000"/>
        </w:rPr>
        <w:t>238.382km</w:t>
      </w:r>
      <w:r w:rsidRPr="007072FB">
        <w:rPr>
          <w:rFonts w:ascii="Verdana" w:eastAsia="华文细黑" w:hAnsi="Verdana" w:cs="Calibri"/>
          <w:color w:val="000000"/>
        </w:rPr>
        <w:t>、</w:t>
      </w:r>
      <w:r w:rsidRPr="007072FB">
        <w:rPr>
          <w:rFonts w:ascii="Verdana" w:eastAsia="华文细黑" w:hAnsi="Verdana" w:cs="Calibri"/>
          <w:color w:val="000000"/>
        </w:rPr>
        <w:t>DN20</w:t>
      </w:r>
      <w:r w:rsidRPr="007072FB">
        <w:rPr>
          <w:rFonts w:ascii="Verdana" w:eastAsia="华文细黑" w:hAnsi="Verdana" w:cs="Calibri"/>
          <w:color w:val="000000"/>
        </w:rPr>
        <w:t>钢塑管</w:t>
      </w:r>
      <w:r w:rsidRPr="007072FB">
        <w:rPr>
          <w:rFonts w:ascii="Verdana" w:eastAsia="华文细黑" w:hAnsi="Verdana" w:cs="Calibri"/>
          <w:color w:val="000000"/>
        </w:rPr>
        <w:t>445.830km</w:t>
      </w:r>
      <w:r w:rsidRPr="007072FB">
        <w:rPr>
          <w:rFonts w:ascii="Verdana" w:eastAsia="华文细黑" w:hAnsi="Verdana" w:cs="Calibri"/>
          <w:color w:val="000000"/>
        </w:rPr>
        <w:t>；安装入户水表组</w:t>
      </w:r>
      <w:r w:rsidRPr="007072FB">
        <w:rPr>
          <w:rFonts w:ascii="Verdana" w:eastAsia="华文细黑" w:hAnsi="Verdana" w:cs="Calibri"/>
          <w:color w:val="000000"/>
        </w:rPr>
        <w:t>29951</w:t>
      </w:r>
      <w:r w:rsidRPr="007072FB">
        <w:rPr>
          <w:rFonts w:ascii="Verdana" w:eastAsia="华文细黑" w:hAnsi="Verdana" w:cs="Calibri"/>
          <w:color w:val="000000"/>
        </w:rPr>
        <w:t>户；新建无负压增压设备的加压站</w:t>
      </w:r>
      <w:r w:rsidRPr="007072FB">
        <w:rPr>
          <w:rFonts w:ascii="Verdana" w:eastAsia="华文细黑" w:hAnsi="Verdana" w:cs="Calibri"/>
          <w:color w:val="000000"/>
        </w:rPr>
        <w:t>18</w:t>
      </w:r>
      <w:r w:rsidRPr="007072FB">
        <w:rPr>
          <w:rFonts w:ascii="Verdana" w:eastAsia="华文细黑" w:hAnsi="Verdana" w:cs="Calibri"/>
          <w:color w:val="000000"/>
        </w:rPr>
        <w:t>座。</w:t>
      </w:r>
    </w:p>
    <w:p w14:paraId="1FC06897" w14:textId="77777777" w:rsidR="000D1B9A" w:rsidRPr="007072FB" w:rsidRDefault="00000000">
      <w:pPr>
        <w:spacing w:before="120" w:after="120" w:line="360" w:lineRule="auto"/>
        <w:ind w:firstLine="454"/>
        <w:jc w:val="both"/>
        <w:rPr>
          <w:rFonts w:ascii="Verdana" w:eastAsia="华文细黑" w:hAnsi="Verdana" w:cs="Calibri"/>
          <w:color w:val="000000"/>
        </w:rPr>
      </w:pPr>
      <w:r w:rsidRPr="007072FB">
        <w:rPr>
          <w:rFonts w:ascii="Verdana" w:eastAsia="华文细黑" w:hAnsi="Verdana" w:cs="Calibri"/>
          <w:color w:val="000000"/>
        </w:rPr>
        <w:t>本项目每年自来水销售收入为</w:t>
      </w:r>
      <w:r w:rsidRPr="007072FB">
        <w:rPr>
          <w:rFonts w:ascii="Verdana" w:eastAsia="华文细黑" w:hAnsi="Verdana" w:cs="Calibri"/>
          <w:color w:val="000000"/>
        </w:rPr>
        <w:t>8,824.91</w:t>
      </w:r>
      <w:r w:rsidRPr="007072FB">
        <w:rPr>
          <w:rFonts w:ascii="Verdana" w:eastAsia="华文细黑" w:hAnsi="Verdana" w:cs="Calibri"/>
          <w:color w:val="000000"/>
        </w:rPr>
        <w:t>万元，其中，三亚市</w:t>
      </w:r>
      <w:proofErr w:type="gramStart"/>
      <w:r w:rsidRPr="007072FB">
        <w:rPr>
          <w:rFonts w:ascii="Verdana" w:eastAsia="华文细黑" w:hAnsi="Verdana" w:cs="Calibri"/>
          <w:color w:val="000000"/>
        </w:rPr>
        <w:t>农垦居</w:t>
      </w:r>
      <w:proofErr w:type="gramEnd"/>
      <w:r w:rsidRPr="007072FB">
        <w:rPr>
          <w:rFonts w:ascii="Verdana" w:eastAsia="华文细黑" w:hAnsi="Verdana" w:cs="Calibri"/>
          <w:color w:val="000000"/>
        </w:rPr>
        <w:t>供水工程每年自来水销售收入为</w:t>
      </w:r>
      <w:r w:rsidRPr="007072FB">
        <w:rPr>
          <w:rFonts w:ascii="Verdana" w:eastAsia="华文细黑" w:hAnsi="Verdana" w:cs="Calibri"/>
          <w:color w:val="000000"/>
        </w:rPr>
        <w:t>8,824.91</w:t>
      </w:r>
      <w:r w:rsidRPr="007072FB">
        <w:rPr>
          <w:rFonts w:ascii="Verdana" w:eastAsia="华文细黑" w:hAnsi="Verdana" w:cs="Calibri"/>
          <w:color w:val="000000"/>
        </w:rPr>
        <w:t>万元。本项目运营成本由财政拨款解决，本项目运营期债券还本付息层面不考虑运营成本。由于本项目为公益性项目，运营期产生税费较少因此暂不纳入还本付息考虑。</w:t>
      </w:r>
      <w:bookmarkEnd w:id="80"/>
      <w:r w:rsidRPr="007072FB">
        <w:rPr>
          <w:rFonts w:ascii="Verdana" w:eastAsia="华文细黑" w:hAnsi="Verdana" w:cs="Calibri"/>
          <w:color w:val="000000"/>
        </w:rPr>
        <w:t>债券存续期运营收入情况详见附件</w:t>
      </w:r>
      <w:r w:rsidRPr="007072FB">
        <w:rPr>
          <w:rFonts w:ascii="Verdana" w:eastAsia="华文细黑" w:hAnsi="Verdana" w:cs="Calibri"/>
          <w:color w:val="000000"/>
        </w:rPr>
        <w:t>2</w:t>
      </w:r>
      <w:r w:rsidRPr="007072FB">
        <w:rPr>
          <w:rFonts w:ascii="Verdana" w:eastAsia="华文细黑" w:hAnsi="Verdana" w:cs="Calibri"/>
          <w:color w:val="000000"/>
        </w:rPr>
        <w:t>。</w:t>
      </w:r>
    </w:p>
    <w:p w14:paraId="33791B22" w14:textId="77777777" w:rsidR="000D1B9A" w:rsidRPr="007072FB" w:rsidRDefault="00000000">
      <w:pPr>
        <w:spacing w:before="120" w:after="120" w:line="360" w:lineRule="auto"/>
        <w:ind w:firstLine="454"/>
        <w:jc w:val="both"/>
        <w:rPr>
          <w:rFonts w:ascii="Verdana" w:eastAsia="华文细黑" w:hAnsi="Verdana" w:cs="Calibri"/>
          <w:color w:val="000000"/>
        </w:rPr>
        <w:sectPr w:rsidR="000D1B9A" w:rsidRPr="007072FB">
          <w:footerReference w:type="default" r:id="rId20"/>
          <w:pgSz w:w="12240" w:h="15840"/>
          <w:pgMar w:top="1276" w:right="1800" w:bottom="1276" w:left="1800" w:header="708" w:footer="850" w:gutter="0"/>
          <w:cols w:space="708"/>
          <w:docGrid w:linePitch="360"/>
        </w:sectPr>
      </w:pPr>
      <w:r w:rsidRPr="007072FB">
        <w:rPr>
          <w:rFonts w:ascii="Verdana" w:eastAsia="华文细黑" w:hAnsi="Verdana" w:cs="Calibri"/>
          <w:color w:val="000000"/>
        </w:rPr>
        <w:br w:type="page"/>
      </w:r>
    </w:p>
    <w:p w14:paraId="4812BC9F" w14:textId="77777777" w:rsidR="000D1B9A" w:rsidRPr="007072FB" w:rsidRDefault="00000000">
      <w:pPr>
        <w:spacing w:before="120" w:after="120" w:line="360" w:lineRule="auto"/>
        <w:jc w:val="both"/>
        <w:outlineLvl w:val="0"/>
        <w:rPr>
          <w:rFonts w:ascii="Verdana" w:eastAsia="华文细黑" w:hAnsi="Verdana" w:cs="Calibri"/>
          <w:b/>
          <w:sz w:val="32"/>
          <w:szCs w:val="32"/>
        </w:rPr>
      </w:pPr>
      <w:bookmarkStart w:id="81" w:name="_Toc38918458"/>
      <w:bookmarkStart w:id="82" w:name="_Toc135044154"/>
      <w:bookmarkStart w:id="83" w:name="_Toc25162488"/>
      <w:r w:rsidRPr="007072FB">
        <w:rPr>
          <w:rFonts w:ascii="Verdana" w:eastAsia="华文细黑" w:hAnsi="Verdana" w:cs="Calibri"/>
          <w:b/>
          <w:sz w:val="32"/>
          <w:szCs w:val="32"/>
        </w:rPr>
        <w:lastRenderedPageBreak/>
        <w:t>附件</w:t>
      </w:r>
      <w:r w:rsidRPr="007072FB">
        <w:rPr>
          <w:rFonts w:ascii="Verdana" w:eastAsia="华文细黑" w:hAnsi="Verdana" w:cs="Calibri"/>
          <w:b/>
          <w:sz w:val="32"/>
          <w:szCs w:val="32"/>
        </w:rPr>
        <w:t>2</w:t>
      </w:r>
      <w:r w:rsidRPr="007072FB">
        <w:rPr>
          <w:rFonts w:ascii="Verdana" w:eastAsia="华文细黑" w:hAnsi="Verdana" w:cs="Calibri"/>
          <w:b/>
          <w:sz w:val="32"/>
          <w:szCs w:val="32"/>
        </w:rPr>
        <w:t>：运营收入支出表</w:t>
      </w:r>
      <w:bookmarkEnd w:id="81"/>
      <w:bookmarkEnd w:id="82"/>
      <w:bookmarkEnd w:id="83"/>
    </w:p>
    <w:p w14:paraId="11DAEE5D" w14:textId="77777777" w:rsidR="000D1B9A" w:rsidRPr="007072FB" w:rsidRDefault="000D1B9A">
      <w:pPr>
        <w:ind w:right="-604"/>
        <w:contextualSpacing/>
        <w:jc w:val="right"/>
        <w:rPr>
          <w:rFonts w:ascii="Verdana" w:eastAsia="华文细黑" w:hAnsi="Verdana" w:cs="Calibri"/>
          <w:sz w:val="21"/>
          <w:szCs w:val="20"/>
          <w:lang w:val="en-GB"/>
        </w:rPr>
      </w:pPr>
    </w:p>
    <w:p w14:paraId="16F72E05" w14:textId="77777777" w:rsidR="000D1B9A" w:rsidRPr="007072FB" w:rsidRDefault="00000000">
      <w:pPr>
        <w:jc w:val="center"/>
        <w:rPr>
          <w:rFonts w:ascii="Verdana" w:eastAsia="华文细黑" w:hAnsi="Verdana" w:cs="Calibri"/>
          <w:b/>
          <w:color w:val="000000"/>
        </w:rPr>
      </w:pPr>
      <w:r w:rsidRPr="007072FB">
        <w:rPr>
          <w:rFonts w:ascii="Verdana" w:eastAsia="华文细黑" w:hAnsi="Verdana" w:cs="Calibri"/>
          <w:b/>
          <w:color w:val="000000"/>
        </w:rPr>
        <w:t>项目收入支出表</w:t>
      </w:r>
    </w:p>
    <w:p w14:paraId="0066A46A" w14:textId="77777777" w:rsidR="00864C79" w:rsidRDefault="00000000">
      <w:pPr>
        <w:ind w:right="60"/>
        <w:contextualSpacing/>
        <w:jc w:val="right"/>
        <w:rPr>
          <w:rFonts w:ascii="Verdana" w:eastAsia="华文细黑" w:hAnsi="Verdana" w:cs="Calibri"/>
          <w:sz w:val="21"/>
          <w:szCs w:val="20"/>
          <w:lang w:val="en-GB"/>
        </w:rPr>
      </w:pPr>
      <w:r w:rsidRPr="007072FB">
        <w:rPr>
          <w:rFonts w:ascii="Verdana" w:eastAsia="华文细黑" w:hAnsi="Verdana" w:cs="Calibri"/>
          <w:sz w:val="21"/>
          <w:szCs w:val="20"/>
          <w:lang w:val="en-GB"/>
        </w:rPr>
        <w:t>单位：人民币万元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3"/>
        <w:gridCol w:w="1389"/>
        <w:gridCol w:w="1388"/>
        <w:gridCol w:w="1388"/>
        <w:gridCol w:w="1388"/>
        <w:gridCol w:w="1388"/>
        <w:gridCol w:w="1388"/>
        <w:gridCol w:w="1388"/>
        <w:gridCol w:w="1380"/>
      </w:tblGrid>
      <w:tr w:rsidR="00864C79" w:rsidRPr="008B3BF1" w14:paraId="35545E2D" w14:textId="77777777" w:rsidTr="004B465C">
        <w:trPr>
          <w:trHeight w:val="312"/>
          <w:jc w:val="center"/>
        </w:trPr>
        <w:tc>
          <w:tcPr>
            <w:tcW w:w="715" w:type="pct"/>
            <w:shd w:val="clear" w:color="000000" w:fill="0070C0"/>
            <w:vAlign w:val="center"/>
            <w:hideMark/>
          </w:tcPr>
          <w:p w14:paraId="7CBE203E" w14:textId="77777777" w:rsidR="00864C79" w:rsidRPr="004B465C" w:rsidRDefault="00864C79" w:rsidP="00864C79">
            <w:pPr>
              <w:jc w:val="center"/>
              <w:rPr>
                <w:rFonts w:asciiTheme="minorHAnsi" w:eastAsia="华文细黑" w:hAnsiTheme="minorHAnsi" w:cs="宋体"/>
                <w:b/>
                <w:bCs/>
                <w:color w:val="FFFFFF"/>
                <w:sz w:val="20"/>
                <w:szCs w:val="20"/>
              </w:rPr>
            </w:pPr>
            <w:bookmarkStart w:id="84" w:name="RANGE!A1"/>
            <w:r w:rsidRPr="004B465C">
              <w:rPr>
                <w:rFonts w:asciiTheme="minorHAnsi" w:eastAsia="华文细黑" w:hAnsiTheme="minorHAnsi" w:cs="宋体" w:hint="eastAsia"/>
                <w:b/>
                <w:bCs/>
                <w:color w:val="FFFFFF"/>
                <w:sz w:val="20"/>
                <w:szCs w:val="20"/>
              </w:rPr>
              <w:t>年度</w:t>
            </w:r>
            <w:bookmarkEnd w:id="84"/>
          </w:p>
        </w:tc>
        <w:tc>
          <w:tcPr>
            <w:tcW w:w="536" w:type="pct"/>
            <w:shd w:val="clear" w:color="000000" w:fill="0070C0"/>
            <w:noWrap/>
            <w:vAlign w:val="center"/>
            <w:hideMark/>
          </w:tcPr>
          <w:p w14:paraId="24E7D688" w14:textId="44AE6777" w:rsidR="00864C79" w:rsidRPr="004B465C" w:rsidRDefault="00864C79" w:rsidP="00864C79">
            <w:pPr>
              <w:jc w:val="center"/>
              <w:rPr>
                <w:rFonts w:asciiTheme="minorHAnsi" w:eastAsia="华文细黑" w:hAnsiTheme="minorHAnsi" w:cs="宋体"/>
                <w:b/>
                <w:bCs/>
                <w:color w:val="0563C1"/>
                <w:sz w:val="20"/>
                <w:szCs w:val="20"/>
              </w:rPr>
            </w:pPr>
            <w:r w:rsidRPr="004B465C">
              <w:rPr>
                <w:rFonts w:asciiTheme="minorHAnsi" w:eastAsia="华文细黑" w:hAnsiTheme="minorHAnsi" w:cs="宋体"/>
                <w:b/>
                <w:bCs/>
                <w:color w:val="FFFFFF" w:themeColor="background1"/>
                <w:sz w:val="20"/>
                <w:szCs w:val="20"/>
              </w:rPr>
              <w:t>2025</w:t>
            </w:r>
          </w:p>
        </w:tc>
        <w:tc>
          <w:tcPr>
            <w:tcW w:w="536" w:type="pct"/>
            <w:shd w:val="clear" w:color="000000" w:fill="0070C0"/>
            <w:noWrap/>
            <w:vAlign w:val="center"/>
            <w:hideMark/>
          </w:tcPr>
          <w:p w14:paraId="6D1DF20D" w14:textId="77777777" w:rsidR="00864C79" w:rsidRPr="004B465C" w:rsidRDefault="00864C79" w:rsidP="00864C79">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2026</w:t>
            </w:r>
          </w:p>
        </w:tc>
        <w:tc>
          <w:tcPr>
            <w:tcW w:w="536" w:type="pct"/>
            <w:shd w:val="clear" w:color="000000" w:fill="0070C0"/>
            <w:noWrap/>
            <w:vAlign w:val="center"/>
            <w:hideMark/>
          </w:tcPr>
          <w:p w14:paraId="30DBC3FA" w14:textId="77777777" w:rsidR="00864C79" w:rsidRPr="004B465C" w:rsidRDefault="00864C79" w:rsidP="00864C79">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2027</w:t>
            </w:r>
          </w:p>
        </w:tc>
        <w:tc>
          <w:tcPr>
            <w:tcW w:w="536" w:type="pct"/>
            <w:shd w:val="clear" w:color="000000" w:fill="0070C0"/>
            <w:noWrap/>
            <w:vAlign w:val="center"/>
            <w:hideMark/>
          </w:tcPr>
          <w:p w14:paraId="79FA0CFB" w14:textId="77777777" w:rsidR="00864C79" w:rsidRPr="004B465C" w:rsidRDefault="00864C79" w:rsidP="00864C79">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2028</w:t>
            </w:r>
          </w:p>
        </w:tc>
        <w:tc>
          <w:tcPr>
            <w:tcW w:w="536" w:type="pct"/>
            <w:shd w:val="clear" w:color="000000" w:fill="0070C0"/>
            <w:noWrap/>
            <w:vAlign w:val="center"/>
            <w:hideMark/>
          </w:tcPr>
          <w:p w14:paraId="08D0FE1C" w14:textId="77777777" w:rsidR="00864C79" w:rsidRPr="004B465C" w:rsidRDefault="00864C79" w:rsidP="00864C79">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2029</w:t>
            </w:r>
          </w:p>
        </w:tc>
        <w:tc>
          <w:tcPr>
            <w:tcW w:w="536" w:type="pct"/>
            <w:shd w:val="clear" w:color="000000" w:fill="0070C0"/>
            <w:noWrap/>
            <w:vAlign w:val="center"/>
            <w:hideMark/>
          </w:tcPr>
          <w:p w14:paraId="54B134A3" w14:textId="77777777" w:rsidR="00864C79" w:rsidRPr="004B465C" w:rsidRDefault="00864C79" w:rsidP="00864C79">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2030</w:t>
            </w:r>
          </w:p>
        </w:tc>
        <w:tc>
          <w:tcPr>
            <w:tcW w:w="536" w:type="pct"/>
            <w:shd w:val="clear" w:color="000000" w:fill="0070C0"/>
            <w:noWrap/>
            <w:vAlign w:val="center"/>
            <w:hideMark/>
          </w:tcPr>
          <w:p w14:paraId="2D3D4175" w14:textId="77777777" w:rsidR="00864C79" w:rsidRPr="004B465C" w:rsidRDefault="00864C79" w:rsidP="00864C79">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2031</w:t>
            </w:r>
          </w:p>
        </w:tc>
        <w:tc>
          <w:tcPr>
            <w:tcW w:w="533" w:type="pct"/>
            <w:shd w:val="clear" w:color="000000" w:fill="0070C0"/>
            <w:noWrap/>
            <w:vAlign w:val="center"/>
            <w:hideMark/>
          </w:tcPr>
          <w:p w14:paraId="22050317" w14:textId="77777777" w:rsidR="00864C79" w:rsidRPr="004B465C" w:rsidRDefault="00864C79" w:rsidP="00864C79">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2032</w:t>
            </w:r>
          </w:p>
        </w:tc>
      </w:tr>
      <w:tr w:rsidR="00864C79" w:rsidRPr="008B3BF1" w14:paraId="25CC6C04" w14:textId="77777777" w:rsidTr="004B465C">
        <w:trPr>
          <w:trHeight w:val="312"/>
          <w:jc w:val="center"/>
        </w:trPr>
        <w:tc>
          <w:tcPr>
            <w:tcW w:w="715" w:type="pct"/>
            <w:shd w:val="clear" w:color="auto" w:fill="auto"/>
            <w:vAlign w:val="center"/>
            <w:hideMark/>
          </w:tcPr>
          <w:p w14:paraId="00ADAF81" w14:textId="77777777" w:rsidR="00864C79" w:rsidRPr="004B465C" w:rsidRDefault="00864C79" w:rsidP="004B465C">
            <w:pPr>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自来水销售收入</w:t>
            </w:r>
          </w:p>
        </w:tc>
        <w:tc>
          <w:tcPr>
            <w:tcW w:w="536" w:type="pct"/>
            <w:shd w:val="clear" w:color="auto" w:fill="auto"/>
            <w:noWrap/>
            <w:vAlign w:val="center"/>
            <w:hideMark/>
          </w:tcPr>
          <w:p w14:paraId="2232A276" w14:textId="77777777" w:rsidR="00864C79" w:rsidRPr="004B465C" w:rsidRDefault="00864C79" w:rsidP="00864C79">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8,824.91</w:t>
            </w:r>
          </w:p>
        </w:tc>
        <w:tc>
          <w:tcPr>
            <w:tcW w:w="536" w:type="pct"/>
            <w:shd w:val="clear" w:color="auto" w:fill="auto"/>
            <w:noWrap/>
            <w:vAlign w:val="center"/>
            <w:hideMark/>
          </w:tcPr>
          <w:p w14:paraId="0B8F3DFF" w14:textId="77777777" w:rsidR="00864C79" w:rsidRPr="004B465C" w:rsidRDefault="00864C79" w:rsidP="00864C79">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8,824.91</w:t>
            </w:r>
          </w:p>
        </w:tc>
        <w:tc>
          <w:tcPr>
            <w:tcW w:w="536" w:type="pct"/>
            <w:shd w:val="clear" w:color="auto" w:fill="auto"/>
            <w:noWrap/>
            <w:vAlign w:val="center"/>
            <w:hideMark/>
          </w:tcPr>
          <w:p w14:paraId="114A164D" w14:textId="77777777" w:rsidR="00864C79" w:rsidRPr="004B465C" w:rsidRDefault="00864C79" w:rsidP="00864C79">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8,824.91</w:t>
            </w:r>
          </w:p>
        </w:tc>
        <w:tc>
          <w:tcPr>
            <w:tcW w:w="536" w:type="pct"/>
            <w:shd w:val="clear" w:color="auto" w:fill="auto"/>
            <w:noWrap/>
            <w:vAlign w:val="center"/>
            <w:hideMark/>
          </w:tcPr>
          <w:p w14:paraId="62463BB5" w14:textId="77777777" w:rsidR="00864C79" w:rsidRPr="004B465C" w:rsidRDefault="00864C79" w:rsidP="00864C79">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8,824.91</w:t>
            </w:r>
          </w:p>
        </w:tc>
        <w:tc>
          <w:tcPr>
            <w:tcW w:w="536" w:type="pct"/>
            <w:shd w:val="clear" w:color="auto" w:fill="auto"/>
            <w:noWrap/>
            <w:vAlign w:val="center"/>
            <w:hideMark/>
          </w:tcPr>
          <w:p w14:paraId="3B6D8BFF" w14:textId="77777777" w:rsidR="00864C79" w:rsidRPr="004B465C" w:rsidRDefault="00864C79" w:rsidP="00864C79">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8,824.91</w:t>
            </w:r>
          </w:p>
        </w:tc>
        <w:tc>
          <w:tcPr>
            <w:tcW w:w="536" w:type="pct"/>
            <w:shd w:val="clear" w:color="auto" w:fill="auto"/>
            <w:noWrap/>
            <w:vAlign w:val="center"/>
            <w:hideMark/>
          </w:tcPr>
          <w:p w14:paraId="74A093BE" w14:textId="77777777" w:rsidR="00864C79" w:rsidRPr="004B465C" w:rsidRDefault="00864C79" w:rsidP="00864C79">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8,824.91</w:t>
            </w:r>
          </w:p>
        </w:tc>
        <w:tc>
          <w:tcPr>
            <w:tcW w:w="536" w:type="pct"/>
            <w:shd w:val="clear" w:color="auto" w:fill="auto"/>
            <w:noWrap/>
            <w:vAlign w:val="center"/>
            <w:hideMark/>
          </w:tcPr>
          <w:p w14:paraId="4F50E59F" w14:textId="77777777" w:rsidR="00864C79" w:rsidRPr="004B465C" w:rsidRDefault="00864C79" w:rsidP="00864C79">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8,824.91</w:t>
            </w:r>
          </w:p>
        </w:tc>
        <w:tc>
          <w:tcPr>
            <w:tcW w:w="533" w:type="pct"/>
            <w:shd w:val="clear" w:color="auto" w:fill="auto"/>
            <w:noWrap/>
            <w:vAlign w:val="center"/>
            <w:hideMark/>
          </w:tcPr>
          <w:p w14:paraId="6D85D981" w14:textId="77777777" w:rsidR="00864C79" w:rsidRPr="004B465C" w:rsidRDefault="00864C79" w:rsidP="00864C79">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8,824.91</w:t>
            </w:r>
          </w:p>
        </w:tc>
      </w:tr>
      <w:tr w:rsidR="00864C79" w:rsidRPr="008B3BF1" w14:paraId="6E631836" w14:textId="77777777" w:rsidTr="004B465C">
        <w:trPr>
          <w:trHeight w:val="312"/>
          <w:jc w:val="center"/>
        </w:trPr>
        <w:tc>
          <w:tcPr>
            <w:tcW w:w="715" w:type="pct"/>
            <w:shd w:val="clear" w:color="auto" w:fill="auto"/>
            <w:vAlign w:val="center"/>
            <w:hideMark/>
          </w:tcPr>
          <w:p w14:paraId="7579E55F" w14:textId="77777777" w:rsidR="00864C79" w:rsidRPr="004B465C" w:rsidRDefault="00864C79" w:rsidP="004B465C">
            <w:pPr>
              <w:rPr>
                <w:rFonts w:asciiTheme="minorHAnsi" w:eastAsia="华文细黑" w:hAnsiTheme="minorHAnsi" w:cs="宋体"/>
                <w:b/>
                <w:bCs/>
                <w:color w:val="000000"/>
                <w:sz w:val="20"/>
                <w:szCs w:val="20"/>
              </w:rPr>
            </w:pPr>
            <w:r w:rsidRPr="004B465C">
              <w:rPr>
                <w:rFonts w:asciiTheme="minorHAnsi" w:eastAsia="华文细黑" w:hAnsiTheme="minorHAnsi" w:cs="宋体" w:hint="eastAsia"/>
                <w:b/>
                <w:bCs/>
                <w:color w:val="000000"/>
                <w:sz w:val="20"/>
                <w:szCs w:val="20"/>
              </w:rPr>
              <w:t>收入合计</w:t>
            </w:r>
          </w:p>
        </w:tc>
        <w:tc>
          <w:tcPr>
            <w:tcW w:w="536" w:type="pct"/>
            <w:shd w:val="clear" w:color="auto" w:fill="auto"/>
            <w:noWrap/>
            <w:vAlign w:val="center"/>
            <w:hideMark/>
          </w:tcPr>
          <w:p w14:paraId="6061568F" w14:textId="77777777" w:rsidR="00864C79" w:rsidRPr="004B465C" w:rsidRDefault="00864C79" w:rsidP="00864C79">
            <w:pPr>
              <w:jc w:val="right"/>
              <w:rPr>
                <w:rFonts w:asciiTheme="minorHAnsi" w:eastAsia="华文细黑" w:hAnsiTheme="minorHAnsi" w:cs="宋体"/>
                <w:b/>
                <w:bCs/>
                <w:color w:val="000000"/>
                <w:sz w:val="20"/>
                <w:szCs w:val="20"/>
              </w:rPr>
            </w:pPr>
            <w:r w:rsidRPr="004B465C">
              <w:rPr>
                <w:rFonts w:asciiTheme="minorHAnsi" w:eastAsia="华文细黑" w:hAnsiTheme="minorHAnsi" w:cs="宋体"/>
                <w:b/>
                <w:bCs/>
                <w:color w:val="000000"/>
                <w:sz w:val="20"/>
                <w:szCs w:val="20"/>
              </w:rPr>
              <w:t>8,824.91</w:t>
            </w:r>
          </w:p>
        </w:tc>
        <w:tc>
          <w:tcPr>
            <w:tcW w:w="536" w:type="pct"/>
            <w:shd w:val="clear" w:color="auto" w:fill="auto"/>
            <w:noWrap/>
            <w:vAlign w:val="center"/>
            <w:hideMark/>
          </w:tcPr>
          <w:p w14:paraId="11429F44" w14:textId="77777777" w:rsidR="00864C79" w:rsidRPr="004B465C" w:rsidRDefault="00864C79" w:rsidP="00864C79">
            <w:pPr>
              <w:jc w:val="right"/>
              <w:rPr>
                <w:rFonts w:asciiTheme="minorHAnsi" w:eastAsia="华文细黑" w:hAnsiTheme="minorHAnsi" w:cs="宋体"/>
                <w:b/>
                <w:bCs/>
                <w:color w:val="000000"/>
                <w:sz w:val="20"/>
                <w:szCs w:val="20"/>
              </w:rPr>
            </w:pPr>
            <w:r w:rsidRPr="004B465C">
              <w:rPr>
                <w:rFonts w:asciiTheme="minorHAnsi" w:eastAsia="华文细黑" w:hAnsiTheme="minorHAnsi" w:cs="宋体"/>
                <w:b/>
                <w:bCs/>
                <w:color w:val="000000"/>
                <w:sz w:val="20"/>
                <w:szCs w:val="20"/>
              </w:rPr>
              <w:t>8,824.91</w:t>
            </w:r>
          </w:p>
        </w:tc>
        <w:tc>
          <w:tcPr>
            <w:tcW w:w="536" w:type="pct"/>
            <w:shd w:val="clear" w:color="auto" w:fill="auto"/>
            <w:noWrap/>
            <w:vAlign w:val="center"/>
            <w:hideMark/>
          </w:tcPr>
          <w:p w14:paraId="43E4BC15" w14:textId="77777777" w:rsidR="00864C79" w:rsidRPr="004B465C" w:rsidRDefault="00864C79" w:rsidP="00864C79">
            <w:pPr>
              <w:jc w:val="right"/>
              <w:rPr>
                <w:rFonts w:asciiTheme="minorHAnsi" w:eastAsia="华文细黑" w:hAnsiTheme="minorHAnsi" w:cs="宋体"/>
                <w:b/>
                <w:bCs/>
                <w:color w:val="000000"/>
                <w:sz w:val="20"/>
                <w:szCs w:val="20"/>
              </w:rPr>
            </w:pPr>
            <w:r w:rsidRPr="004B465C">
              <w:rPr>
                <w:rFonts w:asciiTheme="minorHAnsi" w:eastAsia="华文细黑" w:hAnsiTheme="minorHAnsi" w:cs="宋体"/>
                <w:b/>
                <w:bCs/>
                <w:color w:val="000000"/>
                <w:sz w:val="20"/>
                <w:szCs w:val="20"/>
              </w:rPr>
              <w:t>8,824.91</w:t>
            </w:r>
          </w:p>
        </w:tc>
        <w:tc>
          <w:tcPr>
            <w:tcW w:w="536" w:type="pct"/>
            <w:shd w:val="clear" w:color="auto" w:fill="auto"/>
            <w:noWrap/>
            <w:vAlign w:val="center"/>
            <w:hideMark/>
          </w:tcPr>
          <w:p w14:paraId="39105D4D" w14:textId="77777777" w:rsidR="00864C79" w:rsidRPr="004B465C" w:rsidRDefault="00864C79" w:rsidP="00864C79">
            <w:pPr>
              <w:jc w:val="right"/>
              <w:rPr>
                <w:rFonts w:asciiTheme="minorHAnsi" w:eastAsia="华文细黑" w:hAnsiTheme="minorHAnsi" w:cs="宋体"/>
                <w:b/>
                <w:bCs/>
                <w:color w:val="000000"/>
                <w:sz w:val="20"/>
                <w:szCs w:val="20"/>
              </w:rPr>
            </w:pPr>
            <w:r w:rsidRPr="004B465C">
              <w:rPr>
                <w:rFonts w:asciiTheme="minorHAnsi" w:eastAsia="华文细黑" w:hAnsiTheme="minorHAnsi" w:cs="宋体"/>
                <w:b/>
                <w:bCs/>
                <w:color w:val="000000"/>
                <w:sz w:val="20"/>
                <w:szCs w:val="20"/>
              </w:rPr>
              <w:t>8,824.91</w:t>
            </w:r>
          </w:p>
        </w:tc>
        <w:tc>
          <w:tcPr>
            <w:tcW w:w="536" w:type="pct"/>
            <w:shd w:val="clear" w:color="auto" w:fill="auto"/>
            <w:noWrap/>
            <w:vAlign w:val="center"/>
            <w:hideMark/>
          </w:tcPr>
          <w:p w14:paraId="43D82D7C" w14:textId="77777777" w:rsidR="00864C79" w:rsidRPr="004B465C" w:rsidRDefault="00864C79" w:rsidP="00864C79">
            <w:pPr>
              <w:jc w:val="right"/>
              <w:rPr>
                <w:rFonts w:asciiTheme="minorHAnsi" w:eastAsia="华文细黑" w:hAnsiTheme="minorHAnsi" w:cs="宋体"/>
                <w:b/>
                <w:bCs/>
                <w:color w:val="000000"/>
                <w:sz w:val="20"/>
                <w:szCs w:val="20"/>
              </w:rPr>
            </w:pPr>
            <w:r w:rsidRPr="004B465C">
              <w:rPr>
                <w:rFonts w:asciiTheme="minorHAnsi" w:eastAsia="华文细黑" w:hAnsiTheme="minorHAnsi" w:cs="宋体"/>
                <w:b/>
                <w:bCs/>
                <w:color w:val="000000"/>
                <w:sz w:val="20"/>
                <w:szCs w:val="20"/>
              </w:rPr>
              <w:t>8,824.91</w:t>
            </w:r>
          </w:p>
        </w:tc>
        <w:tc>
          <w:tcPr>
            <w:tcW w:w="536" w:type="pct"/>
            <w:shd w:val="clear" w:color="auto" w:fill="auto"/>
            <w:noWrap/>
            <w:vAlign w:val="center"/>
            <w:hideMark/>
          </w:tcPr>
          <w:p w14:paraId="5755D812" w14:textId="77777777" w:rsidR="00864C79" w:rsidRPr="004B465C" w:rsidRDefault="00864C79" w:rsidP="00864C79">
            <w:pPr>
              <w:jc w:val="right"/>
              <w:rPr>
                <w:rFonts w:asciiTheme="minorHAnsi" w:eastAsia="华文细黑" w:hAnsiTheme="minorHAnsi" w:cs="宋体"/>
                <w:b/>
                <w:bCs/>
                <w:color w:val="000000"/>
                <w:sz w:val="20"/>
                <w:szCs w:val="20"/>
              </w:rPr>
            </w:pPr>
            <w:r w:rsidRPr="004B465C">
              <w:rPr>
                <w:rFonts w:asciiTheme="minorHAnsi" w:eastAsia="华文细黑" w:hAnsiTheme="minorHAnsi" w:cs="宋体"/>
                <w:b/>
                <w:bCs/>
                <w:color w:val="000000"/>
                <w:sz w:val="20"/>
                <w:szCs w:val="20"/>
              </w:rPr>
              <w:t>8,824.91</w:t>
            </w:r>
          </w:p>
        </w:tc>
        <w:tc>
          <w:tcPr>
            <w:tcW w:w="536" w:type="pct"/>
            <w:shd w:val="clear" w:color="auto" w:fill="auto"/>
            <w:noWrap/>
            <w:vAlign w:val="center"/>
            <w:hideMark/>
          </w:tcPr>
          <w:p w14:paraId="134F0535" w14:textId="77777777" w:rsidR="00864C79" w:rsidRPr="004B465C" w:rsidRDefault="00864C79" w:rsidP="00864C79">
            <w:pPr>
              <w:jc w:val="right"/>
              <w:rPr>
                <w:rFonts w:asciiTheme="minorHAnsi" w:eastAsia="华文细黑" w:hAnsiTheme="minorHAnsi" w:cs="宋体"/>
                <w:b/>
                <w:bCs/>
                <w:color w:val="000000"/>
                <w:sz w:val="20"/>
                <w:szCs w:val="20"/>
              </w:rPr>
            </w:pPr>
            <w:r w:rsidRPr="004B465C">
              <w:rPr>
                <w:rFonts w:asciiTheme="minorHAnsi" w:eastAsia="华文细黑" w:hAnsiTheme="minorHAnsi" w:cs="宋体"/>
                <w:b/>
                <w:bCs/>
                <w:color w:val="000000"/>
                <w:sz w:val="20"/>
                <w:szCs w:val="20"/>
              </w:rPr>
              <w:t>8,824.91</w:t>
            </w:r>
          </w:p>
        </w:tc>
        <w:tc>
          <w:tcPr>
            <w:tcW w:w="533" w:type="pct"/>
            <w:shd w:val="clear" w:color="auto" w:fill="auto"/>
            <w:noWrap/>
            <w:vAlign w:val="center"/>
            <w:hideMark/>
          </w:tcPr>
          <w:p w14:paraId="59876D7C" w14:textId="77777777" w:rsidR="00864C79" w:rsidRPr="004B465C" w:rsidRDefault="00864C79" w:rsidP="00864C79">
            <w:pPr>
              <w:jc w:val="right"/>
              <w:rPr>
                <w:rFonts w:asciiTheme="minorHAnsi" w:eastAsia="华文细黑" w:hAnsiTheme="minorHAnsi" w:cs="宋体"/>
                <w:b/>
                <w:bCs/>
                <w:color w:val="000000"/>
                <w:sz w:val="20"/>
                <w:szCs w:val="20"/>
              </w:rPr>
            </w:pPr>
            <w:r w:rsidRPr="004B465C">
              <w:rPr>
                <w:rFonts w:asciiTheme="minorHAnsi" w:eastAsia="华文细黑" w:hAnsiTheme="minorHAnsi" w:cs="宋体"/>
                <w:b/>
                <w:bCs/>
                <w:color w:val="000000"/>
                <w:sz w:val="20"/>
                <w:szCs w:val="20"/>
              </w:rPr>
              <w:t>8,824.91</w:t>
            </w:r>
          </w:p>
        </w:tc>
      </w:tr>
    </w:tbl>
    <w:p w14:paraId="23AD2D31" w14:textId="00B02421" w:rsidR="000D1B9A" w:rsidRDefault="000D1B9A">
      <w:pPr>
        <w:ind w:right="60"/>
        <w:contextualSpacing/>
        <w:jc w:val="right"/>
        <w:rPr>
          <w:rFonts w:ascii="Verdana" w:eastAsia="华文细黑" w:hAnsi="Verdana" w:cs="Calibri"/>
          <w:sz w:val="21"/>
          <w:szCs w:val="20"/>
          <w:lang w:val="en-GB"/>
        </w:rPr>
      </w:pPr>
    </w:p>
    <w:p w14:paraId="4F549307" w14:textId="77777777" w:rsidR="00864C79" w:rsidRPr="007072FB" w:rsidRDefault="00864C79">
      <w:pPr>
        <w:ind w:right="60"/>
        <w:contextualSpacing/>
        <w:jc w:val="right"/>
        <w:rPr>
          <w:rFonts w:ascii="Verdana" w:eastAsia="华文细黑" w:hAnsi="Verdana" w:cs="Calibri"/>
          <w:sz w:val="21"/>
          <w:szCs w:val="20"/>
          <w:lang w:val="en-GB"/>
        </w:rPr>
      </w:pPr>
    </w:p>
    <w:p w14:paraId="7364ADE0" w14:textId="77777777" w:rsidR="000D1B9A" w:rsidRPr="007072FB" w:rsidRDefault="000D1B9A">
      <w:pPr>
        <w:rPr>
          <w:rFonts w:ascii="Verdana" w:eastAsia="华文细黑" w:hAnsi="Verdana" w:cs="Calibri"/>
        </w:rPr>
      </w:pPr>
    </w:p>
    <w:p w14:paraId="786F4C9B" w14:textId="77777777" w:rsidR="000D1B9A" w:rsidRPr="007072FB" w:rsidRDefault="000D1B9A">
      <w:pPr>
        <w:rPr>
          <w:rFonts w:ascii="Verdana" w:eastAsia="华文细黑" w:hAnsi="Verdana" w:cs="Calibri"/>
        </w:rPr>
      </w:pPr>
    </w:p>
    <w:p w14:paraId="60DAC3A1" w14:textId="77777777" w:rsidR="000D1B9A" w:rsidRPr="007072FB" w:rsidRDefault="00000000">
      <w:pPr>
        <w:jc w:val="center"/>
        <w:rPr>
          <w:rFonts w:ascii="Verdana" w:eastAsia="华文细黑" w:hAnsi="Verdana" w:cs="Calibri"/>
          <w:b/>
          <w:color w:val="000000"/>
        </w:rPr>
      </w:pPr>
      <w:r w:rsidRPr="007072FB">
        <w:rPr>
          <w:rFonts w:ascii="Verdana" w:eastAsia="华文细黑" w:hAnsi="Verdana" w:cs="Calibri"/>
          <w:b/>
          <w:color w:val="000000"/>
        </w:rPr>
        <w:t>项目收入支出表（续）</w:t>
      </w:r>
    </w:p>
    <w:p w14:paraId="38E63942" w14:textId="77777777" w:rsidR="00864C79" w:rsidRDefault="00000000">
      <w:pPr>
        <w:ind w:right="60"/>
        <w:contextualSpacing/>
        <w:jc w:val="right"/>
        <w:rPr>
          <w:rFonts w:ascii="Verdana" w:eastAsia="华文细黑" w:hAnsi="Verdana" w:cs="Calibri"/>
          <w:sz w:val="21"/>
          <w:szCs w:val="20"/>
          <w:lang w:val="en-GB"/>
        </w:rPr>
      </w:pPr>
      <w:r w:rsidRPr="007072FB">
        <w:rPr>
          <w:rFonts w:ascii="Verdana" w:eastAsia="华文细黑" w:hAnsi="Verdana" w:cs="Calibri"/>
          <w:sz w:val="21"/>
          <w:szCs w:val="20"/>
          <w:lang w:val="en-GB"/>
        </w:rPr>
        <w:t>单位：人民币万元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1"/>
        <w:gridCol w:w="1298"/>
        <w:gridCol w:w="1298"/>
        <w:gridCol w:w="1298"/>
        <w:gridCol w:w="1298"/>
        <w:gridCol w:w="1298"/>
        <w:gridCol w:w="1298"/>
        <w:gridCol w:w="1298"/>
        <w:gridCol w:w="1603"/>
      </w:tblGrid>
      <w:tr w:rsidR="00864C79" w:rsidRPr="008B3BF1" w14:paraId="6DFDEC37" w14:textId="77777777" w:rsidTr="004B465C">
        <w:trPr>
          <w:trHeight w:val="312"/>
        </w:trPr>
        <w:tc>
          <w:tcPr>
            <w:tcW w:w="873" w:type="pct"/>
            <w:shd w:val="clear" w:color="000000" w:fill="0070C0"/>
            <w:vAlign w:val="center"/>
            <w:hideMark/>
          </w:tcPr>
          <w:p w14:paraId="732F5823" w14:textId="77777777" w:rsidR="00864C79" w:rsidRPr="004B465C" w:rsidRDefault="00864C79" w:rsidP="00864C79">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hint="eastAsia"/>
                <w:b/>
                <w:bCs/>
                <w:color w:val="FFFFFF"/>
                <w:sz w:val="20"/>
                <w:szCs w:val="20"/>
              </w:rPr>
              <w:t>年度</w:t>
            </w:r>
          </w:p>
        </w:tc>
        <w:tc>
          <w:tcPr>
            <w:tcW w:w="501" w:type="pct"/>
            <w:shd w:val="clear" w:color="000000" w:fill="0070C0"/>
            <w:noWrap/>
            <w:vAlign w:val="center"/>
            <w:hideMark/>
          </w:tcPr>
          <w:p w14:paraId="7A553BA2" w14:textId="77777777" w:rsidR="00864C79" w:rsidRPr="004B465C" w:rsidRDefault="00864C79" w:rsidP="00864C79">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2033</w:t>
            </w:r>
          </w:p>
        </w:tc>
        <w:tc>
          <w:tcPr>
            <w:tcW w:w="501" w:type="pct"/>
            <w:shd w:val="clear" w:color="000000" w:fill="0070C0"/>
            <w:noWrap/>
            <w:vAlign w:val="center"/>
            <w:hideMark/>
          </w:tcPr>
          <w:p w14:paraId="32DDBF0C" w14:textId="77777777" w:rsidR="00864C79" w:rsidRPr="004B465C" w:rsidRDefault="00864C79" w:rsidP="00864C79">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2034</w:t>
            </w:r>
          </w:p>
        </w:tc>
        <w:tc>
          <w:tcPr>
            <w:tcW w:w="501" w:type="pct"/>
            <w:shd w:val="clear" w:color="000000" w:fill="0070C0"/>
            <w:noWrap/>
            <w:vAlign w:val="center"/>
            <w:hideMark/>
          </w:tcPr>
          <w:p w14:paraId="7FF6F94F" w14:textId="77777777" w:rsidR="00864C79" w:rsidRPr="004B465C" w:rsidRDefault="00864C79" w:rsidP="00864C79">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2035</w:t>
            </w:r>
          </w:p>
        </w:tc>
        <w:tc>
          <w:tcPr>
            <w:tcW w:w="501" w:type="pct"/>
            <w:shd w:val="clear" w:color="000000" w:fill="0070C0"/>
            <w:noWrap/>
            <w:vAlign w:val="center"/>
            <w:hideMark/>
          </w:tcPr>
          <w:p w14:paraId="40C7569E" w14:textId="77777777" w:rsidR="00864C79" w:rsidRPr="004B465C" w:rsidRDefault="00864C79" w:rsidP="00864C79">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2036</w:t>
            </w:r>
          </w:p>
        </w:tc>
        <w:tc>
          <w:tcPr>
            <w:tcW w:w="501" w:type="pct"/>
            <w:shd w:val="clear" w:color="000000" w:fill="0070C0"/>
            <w:noWrap/>
            <w:vAlign w:val="center"/>
            <w:hideMark/>
          </w:tcPr>
          <w:p w14:paraId="3A52BC3F" w14:textId="77777777" w:rsidR="00864C79" w:rsidRPr="004B465C" w:rsidRDefault="00864C79" w:rsidP="00864C79">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2037</w:t>
            </w:r>
          </w:p>
        </w:tc>
        <w:tc>
          <w:tcPr>
            <w:tcW w:w="501" w:type="pct"/>
            <w:shd w:val="clear" w:color="000000" w:fill="0070C0"/>
            <w:noWrap/>
            <w:vAlign w:val="center"/>
            <w:hideMark/>
          </w:tcPr>
          <w:p w14:paraId="130C965B" w14:textId="77777777" w:rsidR="00864C79" w:rsidRPr="004B465C" w:rsidRDefault="00864C79" w:rsidP="00864C79">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2038</w:t>
            </w:r>
          </w:p>
        </w:tc>
        <w:tc>
          <w:tcPr>
            <w:tcW w:w="501" w:type="pct"/>
            <w:shd w:val="clear" w:color="000000" w:fill="0070C0"/>
            <w:noWrap/>
            <w:vAlign w:val="center"/>
            <w:hideMark/>
          </w:tcPr>
          <w:p w14:paraId="64F0CFE3" w14:textId="77777777" w:rsidR="00864C79" w:rsidRPr="004B465C" w:rsidRDefault="00864C79" w:rsidP="00864C79">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b/>
                <w:bCs/>
                <w:color w:val="FFFFFF"/>
                <w:sz w:val="20"/>
                <w:szCs w:val="20"/>
              </w:rPr>
              <w:t>2039</w:t>
            </w:r>
          </w:p>
        </w:tc>
        <w:tc>
          <w:tcPr>
            <w:tcW w:w="619" w:type="pct"/>
            <w:shd w:val="clear" w:color="000000" w:fill="0070C0"/>
            <w:noWrap/>
            <w:vAlign w:val="center"/>
            <w:hideMark/>
          </w:tcPr>
          <w:p w14:paraId="05642577" w14:textId="77777777" w:rsidR="00864C79" w:rsidRPr="004B465C" w:rsidRDefault="00864C79" w:rsidP="00864C79">
            <w:pPr>
              <w:jc w:val="center"/>
              <w:rPr>
                <w:rFonts w:asciiTheme="minorHAnsi" w:eastAsia="华文细黑" w:hAnsiTheme="minorHAnsi" w:cs="宋体"/>
                <w:b/>
                <w:bCs/>
                <w:color w:val="FFFFFF"/>
                <w:sz w:val="20"/>
                <w:szCs w:val="20"/>
              </w:rPr>
            </w:pPr>
            <w:r w:rsidRPr="004B465C">
              <w:rPr>
                <w:rFonts w:asciiTheme="minorHAnsi" w:eastAsia="华文细黑" w:hAnsiTheme="minorHAnsi" w:cs="宋体" w:hint="eastAsia"/>
                <w:b/>
                <w:bCs/>
                <w:color w:val="FFFFFF"/>
                <w:sz w:val="20"/>
                <w:szCs w:val="20"/>
              </w:rPr>
              <w:t>合计</w:t>
            </w:r>
          </w:p>
        </w:tc>
      </w:tr>
      <w:tr w:rsidR="00864C79" w:rsidRPr="008B3BF1" w14:paraId="022001AD" w14:textId="77777777" w:rsidTr="004B465C">
        <w:trPr>
          <w:trHeight w:val="312"/>
        </w:trPr>
        <w:tc>
          <w:tcPr>
            <w:tcW w:w="873" w:type="pct"/>
            <w:shd w:val="clear" w:color="auto" w:fill="auto"/>
            <w:vAlign w:val="center"/>
            <w:hideMark/>
          </w:tcPr>
          <w:p w14:paraId="415BFDB4" w14:textId="77777777" w:rsidR="00864C79" w:rsidRPr="004B465C" w:rsidRDefault="00864C79" w:rsidP="00864C79">
            <w:pPr>
              <w:jc w:val="both"/>
              <w:rPr>
                <w:rFonts w:asciiTheme="minorHAnsi" w:eastAsia="华文细黑" w:hAnsiTheme="minorHAnsi" w:cs="宋体"/>
                <w:color w:val="000000"/>
                <w:sz w:val="20"/>
                <w:szCs w:val="20"/>
              </w:rPr>
            </w:pPr>
            <w:r w:rsidRPr="004B465C">
              <w:rPr>
                <w:rFonts w:asciiTheme="minorHAnsi" w:eastAsia="华文细黑" w:hAnsiTheme="minorHAnsi" w:cs="宋体" w:hint="eastAsia"/>
                <w:color w:val="000000"/>
                <w:sz w:val="20"/>
                <w:szCs w:val="20"/>
              </w:rPr>
              <w:t>自来水销售收入</w:t>
            </w:r>
          </w:p>
        </w:tc>
        <w:tc>
          <w:tcPr>
            <w:tcW w:w="501" w:type="pct"/>
            <w:shd w:val="clear" w:color="auto" w:fill="auto"/>
            <w:noWrap/>
            <w:vAlign w:val="center"/>
            <w:hideMark/>
          </w:tcPr>
          <w:p w14:paraId="0120C8D2" w14:textId="77777777" w:rsidR="00864C79" w:rsidRPr="004B465C" w:rsidRDefault="00864C79" w:rsidP="00864C79">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8,824.91</w:t>
            </w:r>
          </w:p>
        </w:tc>
        <w:tc>
          <w:tcPr>
            <w:tcW w:w="501" w:type="pct"/>
            <w:shd w:val="clear" w:color="auto" w:fill="auto"/>
            <w:noWrap/>
            <w:vAlign w:val="center"/>
            <w:hideMark/>
          </w:tcPr>
          <w:p w14:paraId="61C4DF60" w14:textId="77777777" w:rsidR="00864C79" w:rsidRPr="004B465C" w:rsidRDefault="00864C79" w:rsidP="00864C79">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8,824.91</w:t>
            </w:r>
          </w:p>
        </w:tc>
        <w:tc>
          <w:tcPr>
            <w:tcW w:w="501" w:type="pct"/>
            <w:shd w:val="clear" w:color="auto" w:fill="auto"/>
            <w:noWrap/>
            <w:vAlign w:val="center"/>
            <w:hideMark/>
          </w:tcPr>
          <w:p w14:paraId="58BA63D4" w14:textId="77777777" w:rsidR="00864C79" w:rsidRPr="004B465C" w:rsidRDefault="00864C79" w:rsidP="00864C79">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8,824.91</w:t>
            </w:r>
          </w:p>
        </w:tc>
        <w:tc>
          <w:tcPr>
            <w:tcW w:w="501" w:type="pct"/>
            <w:shd w:val="clear" w:color="auto" w:fill="auto"/>
            <w:noWrap/>
            <w:vAlign w:val="center"/>
            <w:hideMark/>
          </w:tcPr>
          <w:p w14:paraId="0194AE49" w14:textId="77777777" w:rsidR="00864C79" w:rsidRPr="004B465C" w:rsidRDefault="00864C79" w:rsidP="00864C79">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8,824.91</w:t>
            </w:r>
          </w:p>
        </w:tc>
        <w:tc>
          <w:tcPr>
            <w:tcW w:w="501" w:type="pct"/>
            <w:shd w:val="clear" w:color="auto" w:fill="auto"/>
            <w:noWrap/>
            <w:vAlign w:val="center"/>
            <w:hideMark/>
          </w:tcPr>
          <w:p w14:paraId="3FEEDA12" w14:textId="77777777" w:rsidR="00864C79" w:rsidRPr="004B465C" w:rsidRDefault="00864C79" w:rsidP="00864C79">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8,824.91</w:t>
            </w:r>
          </w:p>
        </w:tc>
        <w:tc>
          <w:tcPr>
            <w:tcW w:w="501" w:type="pct"/>
            <w:shd w:val="clear" w:color="auto" w:fill="auto"/>
            <w:noWrap/>
            <w:vAlign w:val="center"/>
            <w:hideMark/>
          </w:tcPr>
          <w:p w14:paraId="4930BD2E" w14:textId="77777777" w:rsidR="00864C79" w:rsidRPr="004B465C" w:rsidRDefault="00864C79" w:rsidP="00864C79">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8,824.91</w:t>
            </w:r>
          </w:p>
        </w:tc>
        <w:tc>
          <w:tcPr>
            <w:tcW w:w="501" w:type="pct"/>
            <w:shd w:val="clear" w:color="auto" w:fill="auto"/>
            <w:noWrap/>
            <w:vAlign w:val="center"/>
            <w:hideMark/>
          </w:tcPr>
          <w:p w14:paraId="6DD66E71" w14:textId="77777777" w:rsidR="00864C79" w:rsidRPr="004B465C" w:rsidRDefault="00864C79" w:rsidP="00864C79">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8,824.91</w:t>
            </w:r>
          </w:p>
        </w:tc>
        <w:tc>
          <w:tcPr>
            <w:tcW w:w="619" w:type="pct"/>
            <w:shd w:val="clear" w:color="auto" w:fill="auto"/>
            <w:noWrap/>
            <w:vAlign w:val="center"/>
            <w:hideMark/>
          </w:tcPr>
          <w:p w14:paraId="5657D1FF" w14:textId="77777777" w:rsidR="00864C79" w:rsidRPr="004B465C" w:rsidRDefault="00864C79" w:rsidP="00864C79">
            <w:pPr>
              <w:jc w:val="right"/>
              <w:rPr>
                <w:rFonts w:asciiTheme="minorHAnsi" w:eastAsia="华文细黑" w:hAnsiTheme="minorHAnsi" w:cs="宋体"/>
                <w:color w:val="000000"/>
                <w:sz w:val="20"/>
                <w:szCs w:val="20"/>
              </w:rPr>
            </w:pPr>
            <w:r w:rsidRPr="004B465C">
              <w:rPr>
                <w:rFonts w:asciiTheme="minorHAnsi" w:eastAsia="华文细黑" w:hAnsiTheme="minorHAnsi" w:cs="宋体"/>
                <w:color w:val="000000"/>
                <w:sz w:val="20"/>
                <w:szCs w:val="20"/>
              </w:rPr>
              <w:t>132,373.65</w:t>
            </w:r>
          </w:p>
        </w:tc>
      </w:tr>
      <w:tr w:rsidR="00864C79" w:rsidRPr="008B3BF1" w14:paraId="66D4E79C" w14:textId="77777777" w:rsidTr="004B465C">
        <w:trPr>
          <w:trHeight w:val="312"/>
        </w:trPr>
        <w:tc>
          <w:tcPr>
            <w:tcW w:w="873" w:type="pct"/>
            <w:shd w:val="clear" w:color="auto" w:fill="auto"/>
            <w:vAlign w:val="center"/>
            <w:hideMark/>
          </w:tcPr>
          <w:p w14:paraId="20ECFBC1" w14:textId="77777777" w:rsidR="00864C79" w:rsidRPr="004B465C" w:rsidRDefault="00864C79" w:rsidP="00864C79">
            <w:pPr>
              <w:jc w:val="both"/>
              <w:rPr>
                <w:rFonts w:asciiTheme="minorHAnsi" w:eastAsia="华文细黑" w:hAnsiTheme="minorHAnsi" w:cs="宋体"/>
                <w:b/>
                <w:bCs/>
                <w:color w:val="000000"/>
                <w:sz w:val="20"/>
                <w:szCs w:val="20"/>
              </w:rPr>
            </w:pPr>
            <w:r w:rsidRPr="004B465C">
              <w:rPr>
                <w:rFonts w:asciiTheme="minorHAnsi" w:eastAsia="华文细黑" w:hAnsiTheme="minorHAnsi" w:cs="宋体" w:hint="eastAsia"/>
                <w:b/>
                <w:bCs/>
                <w:color w:val="000000"/>
                <w:sz w:val="20"/>
                <w:szCs w:val="20"/>
              </w:rPr>
              <w:t>收入合计</w:t>
            </w:r>
          </w:p>
        </w:tc>
        <w:tc>
          <w:tcPr>
            <w:tcW w:w="501" w:type="pct"/>
            <w:shd w:val="clear" w:color="auto" w:fill="auto"/>
            <w:noWrap/>
            <w:vAlign w:val="center"/>
            <w:hideMark/>
          </w:tcPr>
          <w:p w14:paraId="3E82CD8B" w14:textId="77777777" w:rsidR="00864C79" w:rsidRPr="004B465C" w:rsidRDefault="00864C79" w:rsidP="00864C79">
            <w:pPr>
              <w:jc w:val="right"/>
              <w:rPr>
                <w:rFonts w:asciiTheme="minorHAnsi" w:eastAsia="华文细黑" w:hAnsiTheme="minorHAnsi" w:cs="宋体"/>
                <w:b/>
                <w:bCs/>
                <w:color w:val="000000"/>
                <w:sz w:val="20"/>
                <w:szCs w:val="20"/>
              </w:rPr>
            </w:pPr>
            <w:r w:rsidRPr="004B465C">
              <w:rPr>
                <w:rFonts w:asciiTheme="minorHAnsi" w:eastAsia="华文细黑" w:hAnsiTheme="minorHAnsi" w:cs="宋体"/>
                <w:b/>
                <w:bCs/>
                <w:color w:val="000000"/>
                <w:sz w:val="20"/>
                <w:szCs w:val="20"/>
              </w:rPr>
              <w:t>8,824.91</w:t>
            </w:r>
          </w:p>
        </w:tc>
        <w:tc>
          <w:tcPr>
            <w:tcW w:w="501" w:type="pct"/>
            <w:shd w:val="clear" w:color="auto" w:fill="auto"/>
            <w:noWrap/>
            <w:vAlign w:val="center"/>
            <w:hideMark/>
          </w:tcPr>
          <w:p w14:paraId="3B142157" w14:textId="77777777" w:rsidR="00864C79" w:rsidRPr="004B465C" w:rsidRDefault="00864C79" w:rsidP="00864C79">
            <w:pPr>
              <w:jc w:val="right"/>
              <w:rPr>
                <w:rFonts w:asciiTheme="minorHAnsi" w:eastAsia="华文细黑" w:hAnsiTheme="minorHAnsi" w:cs="宋体"/>
                <w:b/>
                <w:bCs/>
                <w:color w:val="000000"/>
                <w:sz w:val="20"/>
                <w:szCs w:val="20"/>
              </w:rPr>
            </w:pPr>
            <w:r w:rsidRPr="004B465C">
              <w:rPr>
                <w:rFonts w:asciiTheme="minorHAnsi" w:eastAsia="华文细黑" w:hAnsiTheme="minorHAnsi" w:cs="宋体"/>
                <w:b/>
                <w:bCs/>
                <w:color w:val="000000"/>
                <w:sz w:val="20"/>
                <w:szCs w:val="20"/>
              </w:rPr>
              <w:t>8,824.91</w:t>
            </w:r>
          </w:p>
        </w:tc>
        <w:tc>
          <w:tcPr>
            <w:tcW w:w="501" w:type="pct"/>
            <w:shd w:val="clear" w:color="auto" w:fill="auto"/>
            <w:noWrap/>
            <w:vAlign w:val="center"/>
            <w:hideMark/>
          </w:tcPr>
          <w:p w14:paraId="0E4FEA43" w14:textId="77777777" w:rsidR="00864C79" w:rsidRPr="004B465C" w:rsidRDefault="00864C79" w:rsidP="00864C79">
            <w:pPr>
              <w:jc w:val="right"/>
              <w:rPr>
                <w:rFonts w:asciiTheme="minorHAnsi" w:eastAsia="华文细黑" w:hAnsiTheme="minorHAnsi" w:cs="宋体"/>
                <w:b/>
                <w:bCs/>
                <w:color w:val="000000"/>
                <w:sz w:val="20"/>
                <w:szCs w:val="20"/>
              </w:rPr>
            </w:pPr>
            <w:r w:rsidRPr="004B465C">
              <w:rPr>
                <w:rFonts w:asciiTheme="minorHAnsi" w:eastAsia="华文细黑" w:hAnsiTheme="minorHAnsi" w:cs="宋体"/>
                <w:b/>
                <w:bCs/>
                <w:color w:val="000000"/>
                <w:sz w:val="20"/>
                <w:szCs w:val="20"/>
              </w:rPr>
              <w:t>8,824.91</w:t>
            </w:r>
          </w:p>
        </w:tc>
        <w:tc>
          <w:tcPr>
            <w:tcW w:w="501" w:type="pct"/>
            <w:shd w:val="clear" w:color="auto" w:fill="auto"/>
            <w:noWrap/>
            <w:vAlign w:val="center"/>
            <w:hideMark/>
          </w:tcPr>
          <w:p w14:paraId="2ADAD625" w14:textId="77777777" w:rsidR="00864C79" w:rsidRPr="004B465C" w:rsidRDefault="00864C79" w:rsidP="00864C79">
            <w:pPr>
              <w:jc w:val="right"/>
              <w:rPr>
                <w:rFonts w:asciiTheme="minorHAnsi" w:eastAsia="华文细黑" w:hAnsiTheme="minorHAnsi" w:cs="宋体"/>
                <w:b/>
                <w:bCs/>
                <w:color w:val="000000"/>
                <w:sz w:val="20"/>
                <w:szCs w:val="20"/>
              </w:rPr>
            </w:pPr>
            <w:r w:rsidRPr="004B465C">
              <w:rPr>
                <w:rFonts w:asciiTheme="minorHAnsi" w:eastAsia="华文细黑" w:hAnsiTheme="minorHAnsi" w:cs="宋体"/>
                <w:b/>
                <w:bCs/>
                <w:color w:val="000000"/>
                <w:sz w:val="20"/>
                <w:szCs w:val="20"/>
              </w:rPr>
              <w:t>8,824.91</w:t>
            </w:r>
          </w:p>
        </w:tc>
        <w:tc>
          <w:tcPr>
            <w:tcW w:w="501" w:type="pct"/>
            <w:shd w:val="clear" w:color="auto" w:fill="auto"/>
            <w:noWrap/>
            <w:vAlign w:val="center"/>
            <w:hideMark/>
          </w:tcPr>
          <w:p w14:paraId="2856200F" w14:textId="77777777" w:rsidR="00864C79" w:rsidRPr="004B465C" w:rsidRDefault="00864C79" w:rsidP="00864C79">
            <w:pPr>
              <w:jc w:val="right"/>
              <w:rPr>
                <w:rFonts w:asciiTheme="minorHAnsi" w:eastAsia="华文细黑" w:hAnsiTheme="minorHAnsi" w:cs="宋体"/>
                <w:b/>
                <w:bCs/>
                <w:color w:val="000000"/>
                <w:sz w:val="20"/>
                <w:szCs w:val="20"/>
              </w:rPr>
            </w:pPr>
            <w:r w:rsidRPr="004B465C">
              <w:rPr>
                <w:rFonts w:asciiTheme="minorHAnsi" w:eastAsia="华文细黑" w:hAnsiTheme="minorHAnsi" w:cs="宋体"/>
                <w:b/>
                <w:bCs/>
                <w:color w:val="000000"/>
                <w:sz w:val="20"/>
                <w:szCs w:val="20"/>
              </w:rPr>
              <w:t>8,824.91</w:t>
            </w:r>
          </w:p>
        </w:tc>
        <w:tc>
          <w:tcPr>
            <w:tcW w:w="501" w:type="pct"/>
            <w:shd w:val="clear" w:color="auto" w:fill="auto"/>
            <w:noWrap/>
            <w:vAlign w:val="center"/>
            <w:hideMark/>
          </w:tcPr>
          <w:p w14:paraId="0B18B865" w14:textId="77777777" w:rsidR="00864C79" w:rsidRPr="004B465C" w:rsidRDefault="00864C79" w:rsidP="00864C79">
            <w:pPr>
              <w:jc w:val="right"/>
              <w:rPr>
                <w:rFonts w:asciiTheme="minorHAnsi" w:eastAsia="华文细黑" w:hAnsiTheme="minorHAnsi" w:cs="宋体"/>
                <w:b/>
                <w:bCs/>
                <w:color w:val="000000"/>
                <w:sz w:val="20"/>
                <w:szCs w:val="20"/>
              </w:rPr>
            </w:pPr>
            <w:r w:rsidRPr="004B465C">
              <w:rPr>
                <w:rFonts w:asciiTheme="minorHAnsi" w:eastAsia="华文细黑" w:hAnsiTheme="minorHAnsi" w:cs="宋体"/>
                <w:b/>
                <w:bCs/>
                <w:color w:val="000000"/>
                <w:sz w:val="20"/>
                <w:szCs w:val="20"/>
              </w:rPr>
              <w:t>8,824.91</w:t>
            </w:r>
          </w:p>
        </w:tc>
        <w:tc>
          <w:tcPr>
            <w:tcW w:w="501" w:type="pct"/>
            <w:shd w:val="clear" w:color="auto" w:fill="auto"/>
            <w:noWrap/>
            <w:vAlign w:val="center"/>
            <w:hideMark/>
          </w:tcPr>
          <w:p w14:paraId="4E669F1B" w14:textId="77777777" w:rsidR="00864C79" w:rsidRPr="004B465C" w:rsidRDefault="00864C79" w:rsidP="00864C79">
            <w:pPr>
              <w:jc w:val="right"/>
              <w:rPr>
                <w:rFonts w:asciiTheme="minorHAnsi" w:eastAsia="华文细黑" w:hAnsiTheme="minorHAnsi" w:cs="宋体"/>
                <w:b/>
                <w:bCs/>
                <w:color w:val="000000"/>
                <w:sz w:val="20"/>
                <w:szCs w:val="20"/>
              </w:rPr>
            </w:pPr>
            <w:r w:rsidRPr="004B465C">
              <w:rPr>
                <w:rFonts w:asciiTheme="minorHAnsi" w:eastAsia="华文细黑" w:hAnsiTheme="minorHAnsi" w:cs="宋体"/>
                <w:b/>
                <w:bCs/>
                <w:color w:val="000000"/>
                <w:sz w:val="20"/>
                <w:szCs w:val="20"/>
              </w:rPr>
              <w:t>8,824.91</w:t>
            </w:r>
          </w:p>
        </w:tc>
        <w:tc>
          <w:tcPr>
            <w:tcW w:w="619" w:type="pct"/>
            <w:shd w:val="clear" w:color="auto" w:fill="auto"/>
            <w:noWrap/>
            <w:vAlign w:val="center"/>
            <w:hideMark/>
          </w:tcPr>
          <w:p w14:paraId="51F2B349" w14:textId="77777777" w:rsidR="00864C79" w:rsidRPr="004B465C" w:rsidRDefault="00864C79" w:rsidP="00864C79">
            <w:pPr>
              <w:jc w:val="right"/>
              <w:rPr>
                <w:rFonts w:asciiTheme="minorHAnsi" w:eastAsia="华文细黑" w:hAnsiTheme="minorHAnsi" w:cs="宋体"/>
                <w:b/>
                <w:bCs/>
                <w:color w:val="000000"/>
                <w:sz w:val="20"/>
                <w:szCs w:val="20"/>
              </w:rPr>
            </w:pPr>
            <w:r w:rsidRPr="004B465C">
              <w:rPr>
                <w:rFonts w:asciiTheme="minorHAnsi" w:eastAsia="华文细黑" w:hAnsiTheme="minorHAnsi" w:cs="宋体"/>
                <w:b/>
                <w:bCs/>
                <w:color w:val="000000"/>
                <w:sz w:val="20"/>
                <w:szCs w:val="20"/>
              </w:rPr>
              <w:t>132,373.65</w:t>
            </w:r>
          </w:p>
        </w:tc>
      </w:tr>
    </w:tbl>
    <w:p w14:paraId="438FD1ED" w14:textId="58FB39D3" w:rsidR="000D1B9A" w:rsidRDefault="000D1B9A">
      <w:pPr>
        <w:ind w:right="60"/>
        <w:contextualSpacing/>
        <w:jc w:val="right"/>
        <w:rPr>
          <w:rFonts w:ascii="Verdana" w:eastAsia="华文细黑" w:hAnsi="Verdana" w:cs="Calibri"/>
          <w:sz w:val="21"/>
          <w:szCs w:val="20"/>
          <w:lang w:val="en-GB"/>
        </w:rPr>
      </w:pPr>
    </w:p>
    <w:p w14:paraId="78B63F21" w14:textId="77777777" w:rsidR="00864C79" w:rsidRPr="007072FB" w:rsidRDefault="00864C79">
      <w:pPr>
        <w:ind w:right="60"/>
        <w:contextualSpacing/>
        <w:jc w:val="right"/>
        <w:rPr>
          <w:rFonts w:ascii="Verdana" w:eastAsia="华文细黑" w:hAnsi="Verdana" w:cs="Calibri"/>
          <w:sz w:val="21"/>
          <w:szCs w:val="20"/>
          <w:lang w:val="en-GB"/>
        </w:rPr>
      </w:pPr>
    </w:p>
    <w:p w14:paraId="7CD5FE8A" w14:textId="77777777" w:rsidR="000D1B9A" w:rsidRPr="007072FB" w:rsidRDefault="000D1B9A">
      <w:pPr>
        <w:ind w:right="900"/>
        <w:contextualSpacing/>
        <w:rPr>
          <w:rFonts w:ascii="Verdana" w:eastAsia="华文细黑" w:hAnsi="Verdana" w:cs="Calibri"/>
          <w:sz w:val="21"/>
          <w:szCs w:val="20"/>
          <w:lang w:val="en-GB"/>
        </w:rPr>
      </w:pPr>
    </w:p>
    <w:bookmarkEnd w:id="77"/>
    <w:p w14:paraId="3892EE1E" w14:textId="77777777" w:rsidR="000D1B9A" w:rsidRPr="007072FB" w:rsidRDefault="000D1B9A">
      <w:pPr>
        <w:ind w:right="105"/>
        <w:contextualSpacing/>
        <w:jc w:val="right"/>
        <w:rPr>
          <w:rFonts w:ascii="Verdana" w:eastAsia="华文细黑" w:hAnsi="Verdana" w:cs="Calibri"/>
          <w:sz w:val="21"/>
          <w:szCs w:val="20"/>
          <w:lang w:val="en-GB"/>
        </w:rPr>
      </w:pPr>
    </w:p>
    <w:p w14:paraId="77C5C3A5" w14:textId="77777777" w:rsidR="000D1B9A" w:rsidRPr="007072FB" w:rsidRDefault="000D1B9A">
      <w:pPr>
        <w:spacing w:after="160" w:line="259" w:lineRule="auto"/>
        <w:rPr>
          <w:rFonts w:ascii="Verdana" w:eastAsia="华文细黑" w:hAnsi="Verdana" w:cs="Calibri"/>
          <w:color w:val="000000"/>
        </w:rPr>
        <w:sectPr w:rsidR="000D1B9A" w:rsidRPr="007072FB">
          <w:footerReference w:type="default" r:id="rId21"/>
          <w:pgSz w:w="15840" w:h="12240" w:orient="landscape"/>
          <w:pgMar w:top="1797" w:right="1440" w:bottom="1418" w:left="1440" w:header="709" w:footer="851" w:gutter="0"/>
          <w:cols w:space="708"/>
          <w:docGrid w:linePitch="360"/>
        </w:sectPr>
      </w:pPr>
    </w:p>
    <w:p w14:paraId="78EF8D78" w14:textId="77777777" w:rsidR="000D1B9A" w:rsidRPr="007072FB" w:rsidRDefault="00000000">
      <w:pPr>
        <w:spacing w:before="120" w:after="120" w:line="360" w:lineRule="auto"/>
        <w:jc w:val="center"/>
        <w:outlineLvl w:val="0"/>
        <w:rPr>
          <w:rFonts w:ascii="Verdana" w:eastAsia="华文细黑" w:hAnsi="Verdana" w:cs="Calibri"/>
          <w:b/>
          <w:sz w:val="32"/>
          <w:szCs w:val="32"/>
        </w:rPr>
      </w:pPr>
      <w:bookmarkStart w:id="85" w:name="_Toc135044155"/>
      <w:r w:rsidRPr="007072FB">
        <w:rPr>
          <w:rFonts w:ascii="Verdana" w:eastAsia="华文细黑" w:hAnsi="Verdana" w:cs="Calibri"/>
          <w:b/>
          <w:sz w:val="32"/>
          <w:szCs w:val="32"/>
        </w:rPr>
        <w:lastRenderedPageBreak/>
        <w:t>免责声明</w:t>
      </w:r>
      <w:bookmarkEnd w:id="85"/>
    </w:p>
    <w:p w14:paraId="1913309A" w14:textId="77777777" w:rsidR="000D1B9A" w:rsidRPr="007072FB" w:rsidRDefault="00000000">
      <w:pPr>
        <w:spacing w:before="120" w:after="120" w:line="360" w:lineRule="auto"/>
        <w:jc w:val="both"/>
        <w:rPr>
          <w:rFonts w:ascii="Verdana" w:eastAsia="华文细黑" w:hAnsi="Verdana" w:cs="Calibri"/>
          <w:sz w:val="22"/>
          <w:szCs w:val="22"/>
        </w:rPr>
      </w:pPr>
      <w:r w:rsidRPr="007072FB">
        <w:rPr>
          <w:rFonts w:ascii="Verdana" w:eastAsia="华文细黑" w:hAnsi="Verdana" w:cs="Calibri"/>
          <w:sz w:val="22"/>
          <w:szCs w:val="22"/>
        </w:rPr>
        <w:t>本报告中的评论仅供贵方作一般参考之用，其内容（无论整体或部分）不构成我们的意见。</w:t>
      </w:r>
    </w:p>
    <w:p w14:paraId="103C4F1A" w14:textId="77777777" w:rsidR="000D1B9A" w:rsidRPr="007072FB" w:rsidRDefault="00000000">
      <w:pPr>
        <w:spacing w:before="120" w:after="120" w:line="360" w:lineRule="auto"/>
        <w:jc w:val="both"/>
        <w:rPr>
          <w:rFonts w:ascii="Verdana" w:eastAsia="华文细黑" w:hAnsi="Verdana" w:cs="Calibri"/>
          <w:sz w:val="22"/>
          <w:szCs w:val="22"/>
        </w:rPr>
      </w:pPr>
      <w:r w:rsidRPr="007072FB">
        <w:rPr>
          <w:rFonts w:ascii="Verdana" w:eastAsia="华文细黑" w:hAnsi="Verdana" w:cs="Calibri"/>
          <w:sz w:val="22"/>
          <w:szCs w:val="22"/>
        </w:rPr>
        <w:t>我们出具的评论将仅基于下列事项</w:t>
      </w:r>
      <w:r w:rsidRPr="007072FB">
        <w:rPr>
          <w:rFonts w:ascii="Verdana" w:eastAsia="华文细黑" w:hAnsi="Verdana" w:cs="Calibri"/>
          <w:sz w:val="22"/>
          <w:szCs w:val="22"/>
        </w:rPr>
        <w:t>:</w:t>
      </w:r>
    </w:p>
    <w:p w14:paraId="74B35309" w14:textId="77777777" w:rsidR="000D1B9A" w:rsidRPr="007072FB" w:rsidRDefault="00000000">
      <w:pPr>
        <w:pStyle w:val="aff"/>
        <w:numPr>
          <w:ilvl w:val="0"/>
          <w:numId w:val="1"/>
        </w:numPr>
        <w:spacing w:before="120" w:after="120" w:line="360" w:lineRule="auto"/>
        <w:ind w:left="414" w:hanging="357"/>
        <w:contextualSpacing w:val="0"/>
        <w:jc w:val="both"/>
        <w:rPr>
          <w:rFonts w:ascii="Verdana" w:eastAsia="华文细黑" w:hAnsi="Verdana" w:cs="Calibri"/>
          <w:sz w:val="22"/>
          <w:szCs w:val="22"/>
        </w:rPr>
      </w:pPr>
      <w:r w:rsidRPr="007072FB">
        <w:rPr>
          <w:rFonts w:ascii="Verdana" w:eastAsia="华文细黑" w:hAnsi="Verdana" w:cs="Calibri"/>
          <w:sz w:val="22"/>
          <w:szCs w:val="22"/>
        </w:rPr>
        <w:t>我们在本报告述及或引用的资料、文件、事实和假设；</w:t>
      </w:r>
    </w:p>
    <w:p w14:paraId="1E85821F" w14:textId="77777777" w:rsidR="000D1B9A" w:rsidRPr="007072FB" w:rsidRDefault="00000000">
      <w:pPr>
        <w:pStyle w:val="aff"/>
        <w:numPr>
          <w:ilvl w:val="0"/>
          <w:numId w:val="1"/>
        </w:numPr>
        <w:spacing w:before="120" w:after="120" w:line="360" w:lineRule="auto"/>
        <w:ind w:left="414" w:hanging="357"/>
        <w:contextualSpacing w:val="0"/>
        <w:jc w:val="both"/>
        <w:rPr>
          <w:rFonts w:ascii="Verdana" w:eastAsia="华文细黑" w:hAnsi="Verdana" w:cs="Calibri"/>
          <w:sz w:val="22"/>
          <w:szCs w:val="22"/>
        </w:rPr>
      </w:pPr>
      <w:r w:rsidRPr="007072FB">
        <w:rPr>
          <w:rFonts w:ascii="Verdana" w:eastAsia="华文细黑" w:hAnsi="Verdana" w:cs="Calibri"/>
          <w:sz w:val="22"/>
          <w:szCs w:val="22"/>
        </w:rPr>
        <w:t>我们假设提供给我们的所有资料（未经独立核实）为准确、真实、完整和有效；</w:t>
      </w:r>
    </w:p>
    <w:p w14:paraId="02DDB0DD" w14:textId="77777777" w:rsidR="000D1B9A" w:rsidRPr="007072FB" w:rsidRDefault="00000000">
      <w:pPr>
        <w:pStyle w:val="aff"/>
        <w:numPr>
          <w:ilvl w:val="0"/>
          <w:numId w:val="1"/>
        </w:numPr>
        <w:spacing w:before="120" w:after="120" w:line="360" w:lineRule="auto"/>
        <w:ind w:left="414" w:hanging="357"/>
        <w:contextualSpacing w:val="0"/>
        <w:jc w:val="both"/>
        <w:rPr>
          <w:rFonts w:ascii="Verdana" w:eastAsia="华文细黑" w:hAnsi="Verdana" w:cs="Calibri"/>
          <w:sz w:val="22"/>
          <w:szCs w:val="22"/>
        </w:rPr>
      </w:pPr>
      <w:r w:rsidRPr="007072FB">
        <w:rPr>
          <w:rFonts w:ascii="Verdana" w:eastAsia="华文细黑" w:hAnsi="Verdana" w:cs="Calibri"/>
          <w:sz w:val="22"/>
          <w:szCs w:val="22"/>
        </w:rPr>
        <w:t>贵方理解本报告只涵盖特定的中国大陆和相关国家</w:t>
      </w:r>
      <w:r w:rsidRPr="007072FB">
        <w:rPr>
          <w:rFonts w:ascii="Verdana" w:eastAsia="华文细黑" w:hAnsi="Verdana" w:cs="Calibri"/>
          <w:sz w:val="22"/>
          <w:szCs w:val="22"/>
        </w:rPr>
        <w:t>/</w:t>
      </w:r>
      <w:r w:rsidRPr="007072FB">
        <w:rPr>
          <w:rFonts w:ascii="Verdana" w:eastAsia="华文细黑" w:hAnsi="Verdana" w:cs="Calibri"/>
          <w:sz w:val="22"/>
          <w:szCs w:val="22"/>
        </w:rPr>
        <w:t>地区问题及相应影响，并未考虑其他任何类别的相关事宜；</w:t>
      </w:r>
    </w:p>
    <w:p w14:paraId="0DD6BA59" w14:textId="77777777" w:rsidR="000D1B9A" w:rsidRPr="007072FB" w:rsidRDefault="00000000">
      <w:pPr>
        <w:pStyle w:val="aff"/>
        <w:numPr>
          <w:ilvl w:val="0"/>
          <w:numId w:val="1"/>
        </w:numPr>
        <w:spacing w:before="120" w:after="120" w:line="360" w:lineRule="auto"/>
        <w:ind w:left="414" w:hanging="357"/>
        <w:contextualSpacing w:val="0"/>
        <w:jc w:val="both"/>
        <w:rPr>
          <w:rFonts w:ascii="Verdana" w:eastAsia="华文细黑" w:hAnsi="Verdana" w:cs="Calibri"/>
          <w:sz w:val="22"/>
          <w:szCs w:val="22"/>
        </w:rPr>
      </w:pPr>
      <w:r w:rsidRPr="007072FB">
        <w:rPr>
          <w:rFonts w:ascii="Verdana" w:eastAsia="华文细黑" w:hAnsi="Verdana" w:cs="Calibri"/>
          <w:sz w:val="22"/>
          <w:szCs w:val="22"/>
        </w:rPr>
        <w:t>在此报告出具时有效的有关法律、法规和解释（</w:t>
      </w:r>
      <w:r w:rsidRPr="007072FB">
        <w:rPr>
          <w:rFonts w:ascii="Verdana" w:eastAsia="华文细黑" w:hAnsi="Verdana" w:cs="Calibri"/>
          <w:sz w:val="22"/>
          <w:szCs w:val="22"/>
        </w:rPr>
        <w:t>“</w:t>
      </w:r>
      <w:r w:rsidRPr="007072FB">
        <w:rPr>
          <w:rFonts w:ascii="Verdana" w:eastAsia="华文细黑" w:hAnsi="Verdana" w:cs="Calibri"/>
          <w:sz w:val="22"/>
          <w:szCs w:val="22"/>
        </w:rPr>
        <w:t>权威法规</w:t>
      </w:r>
      <w:r w:rsidRPr="007072FB">
        <w:rPr>
          <w:rFonts w:ascii="Verdana" w:eastAsia="华文细黑" w:hAnsi="Verdana" w:cs="Calibri"/>
          <w:sz w:val="22"/>
          <w:szCs w:val="22"/>
        </w:rPr>
        <w:t>”</w:t>
      </w:r>
      <w:r w:rsidRPr="007072FB">
        <w:rPr>
          <w:rFonts w:ascii="Verdana" w:eastAsia="华文细黑" w:hAnsi="Verdana" w:cs="Calibri"/>
          <w:sz w:val="22"/>
          <w:szCs w:val="22"/>
        </w:rPr>
        <w:t>）。这些权威法规可能会被修订，且可能具有追溯效力。我们没有义务告知贵方对此报告中所作分析或任何事项可能产生影响的任何变更或发展，我们亦不会对本报告出具日之后的任何事项作考虑。在报告出具之日后权威法规的任何变更亦可能会影响报告中评论的有效性；</w:t>
      </w:r>
    </w:p>
    <w:p w14:paraId="01B79452" w14:textId="77777777" w:rsidR="000D1B9A" w:rsidRPr="007072FB" w:rsidRDefault="00000000">
      <w:pPr>
        <w:pStyle w:val="aff"/>
        <w:numPr>
          <w:ilvl w:val="0"/>
          <w:numId w:val="1"/>
        </w:numPr>
        <w:spacing w:before="120" w:after="120" w:line="360" w:lineRule="auto"/>
        <w:ind w:left="414" w:hanging="357"/>
        <w:contextualSpacing w:val="0"/>
        <w:jc w:val="both"/>
        <w:rPr>
          <w:rFonts w:ascii="Verdana" w:eastAsia="华文细黑" w:hAnsi="Verdana" w:cs="Calibri"/>
          <w:sz w:val="22"/>
          <w:szCs w:val="22"/>
        </w:rPr>
      </w:pPr>
      <w:r w:rsidRPr="007072FB">
        <w:rPr>
          <w:rFonts w:ascii="Verdana" w:eastAsia="华文细黑" w:hAnsi="Verdana" w:cs="Calibri"/>
          <w:sz w:val="22"/>
          <w:szCs w:val="22"/>
        </w:rPr>
        <w:t>贵方理解此报告对任何税务机构及</w:t>
      </w:r>
      <w:r w:rsidRPr="007072FB">
        <w:rPr>
          <w:rFonts w:ascii="Verdana" w:eastAsia="华文细黑" w:hAnsi="Verdana" w:cs="Calibri"/>
          <w:sz w:val="22"/>
          <w:szCs w:val="22"/>
        </w:rPr>
        <w:t>/</w:t>
      </w:r>
      <w:r w:rsidRPr="007072FB">
        <w:rPr>
          <w:rFonts w:ascii="Verdana" w:eastAsia="华文细黑" w:hAnsi="Verdana" w:cs="Calibri"/>
          <w:sz w:val="22"/>
          <w:szCs w:val="22"/>
        </w:rPr>
        <w:t>或司法机构并无约束效力，亦不应被视为我们就任何税务机构及</w:t>
      </w:r>
      <w:r w:rsidRPr="007072FB">
        <w:rPr>
          <w:rFonts w:ascii="Verdana" w:eastAsia="华文细黑" w:hAnsi="Verdana" w:cs="Calibri"/>
          <w:sz w:val="22"/>
          <w:szCs w:val="22"/>
        </w:rPr>
        <w:t>/</w:t>
      </w:r>
      <w:r w:rsidRPr="007072FB">
        <w:rPr>
          <w:rFonts w:ascii="Verdana" w:eastAsia="华文细黑" w:hAnsi="Verdana" w:cs="Calibri"/>
          <w:sz w:val="22"/>
          <w:szCs w:val="22"/>
        </w:rPr>
        <w:t>或司法机构将会同意我们的评论而</w:t>
      </w:r>
      <w:proofErr w:type="gramStart"/>
      <w:r w:rsidRPr="007072FB">
        <w:rPr>
          <w:rFonts w:ascii="Verdana" w:eastAsia="华文细黑" w:hAnsi="Verdana" w:cs="Calibri"/>
          <w:sz w:val="22"/>
          <w:szCs w:val="22"/>
        </w:rPr>
        <w:t>作出</w:t>
      </w:r>
      <w:proofErr w:type="gramEnd"/>
      <w:r w:rsidRPr="007072FB">
        <w:rPr>
          <w:rFonts w:ascii="Verdana" w:eastAsia="华文细黑" w:hAnsi="Verdana" w:cs="Calibri"/>
          <w:sz w:val="22"/>
          <w:szCs w:val="22"/>
        </w:rPr>
        <w:t>的任何声明、保证或担保；</w:t>
      </w:r>
    </w:p>
    <w:p w14:paraId="7AC1C9CE" w14:textId="77777777" w:rsidR="000D1B9A" w:rsidRPr="007072FB" w:rsidRDefault="00000000">
      <w:pPr>
        <w:pStyle w:val="aff"/>
        <w:numPr>
          <w:ilvl w:val="0"/>
          <w:numId w:val="1"/>
        </w:numPr>
        <w:spacing w:before="120" w:after="120" w:line="360" w:lineRule="auto"/>
        <w:ind w:left="414" w:hanging="357"/>
        <w:contextualSpacing w:val="0"/>
        <w:jc w:val="both"/>
        <w:rPr>
          <w:rFonts w:ascii="Verdana" w:eastAsia="华文细黑" w:hAnsi="Verdana" w:cs="Calibri"/>
          <w:sz w:val="22"/>
          <w:szCs w:val="22"/>
        </w:rPr>
      </w:pPr>
      <w:r w:rsidRPr="007072FB">
        <w:rPr>
          <w:rFonts w:ascii="Verdana" w:eastAsia="华文细黑" w:hAnsi="Verdana" w:cs="Calibri"/>
          <w:sz w:val="22"/>
          <w:szCs w:val="22"/>
        </w:rPr>
        <w:t>与此约定业务有关的所有服务仅供贵方参考及内部使用，除了贵方作为业务约定</w:t>
      </w:r>
      <w:proofErr w:type="gramStart"/>
      <w:r w:rsidRPr="007072FB">
        <w:rPr>
          <w:rFonts w:ascii="Verdana" w:eastAsia="华文细黑" w:hAnsi="Verdana" w:cs="Calibri"/>
          <w:sz w:val="22"/>
          <w:szCs w:val="22"/>
        </w:rPr>
        <w:t>书合同</w:t>
      </w:r>
      <w:proofErr w:type="gramEnd"/>
      <w:r w:rsidRPr="007072FB">
        <w:rPr>
          <w:rFonts w:ascii="Verdana" w:eastAsia="华文细黑" w:hAnsi="Verdana" w:cs="Calibri"/>
          <w:sz w:val="22"/>
          <w:szCs w:val="22"/>
        </w:rPr>
        <w:t>一方以外，德勤咨询（海南）有限公司（</w:t>
      </w:r>
      <w:r w:rsidRPr="007072FB">
        <w:rPr>
          <w:rFonts w:ascii="Verdana" w:eastAsia="华文细黑" w:hAnsi="Verdana" w:cs="Calibri"/>
          <w:sz w:val="22"/>
          <w:szCs w:val="22"/>
        </w:rPr>
        <w:t>“</w:t>
      </w:r>
      <w:r w:rsidRPr="007072FB">
        <w:rPr>
          <w:rFonts w:ascii="Verdana" w:eastAsia="华文细黑" w:hAnsi="Verdana" w:cs="Calibri"/>
          <w:sz w:val="22"/>
          <w:szCs w:val="22"/>
        </w:rPr>
        <w:t>德勤</w:t>
      </w:r>
      <w:r w:rsidRPr="007072FB">
        <w:rPr>
          <w:rFonts w:ascii="Verdana" w:eastAsia="华文细黑" w:hAnsi="Verdana" w:cs="Calibri"/>
          <w:sz w:val="22"/>
          <w:szCs w:val="22"/>
        </w:rPr>
        <w:t>”</w:t>
      </w:r>
      <w:r w:rsidRPr="007072FB">
        <w:rPr>
          <w:rFonts w:ascii="Verdana" w:eastAsia="华文细黑" w:hAnsi="Verdana" w:cs="Calibri"/>
          <w:sz w:val="22"/>
          <w:szCs w:val="22"/>
        </w:rPr>
        <w:t>或</w:t>
      </w:r>
      <w:r w:rsidRPr="007072FB">
        <w:rPr>
          <w:rFonts w:ascii="Verdana" w:eastAsia="华文细黑" w:hAnsi="Verdana" w:cs="Calibri"/>
          <w:sz w:val="22"/>
          <w:szCs w:val="22"/>
        </w:rPr>
        <w:t>“</w:t>
      </w:r>
      <w:r w:rsidRPr="007072FB">
        <w:rPr>
          <w:rFonts w:ascii="Verdana" w:eastAsia="华文细黑" w:hAnsi="Verdana" w:cs="Calibri"/>
          <w:sz w:val="22"/>
          <w:szCs w:val="22"/>
        </w:rPr>
        <w:t>我们</w:t>
      </w:r>
      <w:r w:rsidRPr="007072FB">
        <w:rPr>
          <w:rFonts w:ascii="Verdana" w:eastAsia="华文细黑" w:hAnsi="Verdana" w:cs="Calibri"/>
          <w:sz w:val="22"/>
          <w:szCs w:val="22"/>
        </w:rPr>
        <w:t>”</w:t>
      </w:r>
      <w:r w:rsidRPr="007072FB">
        <w:rPr>
          <w:rFonts w:ascii="Verdana" w:eastAsia="华文细黑" w:hAnsi="Verdana" w:cs="Calibri"/>
          <w:sz w:val="22"/>
          <w:szCs w:val="22"/>
        </w:rPr>
        <w:t>）与其他任何人士或任何方（</w:t>
      </w:r>
      <w:r w:rsidRPr="007072FB">
        <w:rPr>
          <w:rFonts w:ascii="Verdana" w:eastAsia="华文细黑" w:hAnsi="Verdana" w:cs="Calibri"/>
          <w:sz w:val="22"/>
          <w:szCs w:val="22"/>
        </w:rPr>
        <w:t>“</w:t>
      </w:r>
      <w:r w:rsidRPr="007072FB">
        <w:rPr>
          <w:rFonts w:ascii="Verdana" w:eastAsia="华文细黑" w:hAnsi="Verdana" w:cs="Calibri"/>
          <w:sz w:val="22"/>
          <w:szCs w:val="22"/>
        </w:rPr>
        <w:t>第三方</w:t>
      </w:r>
      <w:r w:rsidRPr="007072FB">
        <w:rPr>
          <w:rFonts w:ascii="Verdana" w:eastAsia="华文细黑" w:hAnsi="Verdana" w:cs="Calibri"/>
          <w:sz w:val="22"/>
          <w:szCs w:val="22"/>
        </w:rPr>
        <w:t>”</w:t>
      </w:r>
      <w:r w:rsidRPr="007072FB">
        <w:rPr>
          <w:rFonts w:ascii="Verdana" w:eastAsia="华文细黑" w:hAnsi="Verdana" w:cs="Calibri"/>
          <w:sz w:val="22"/>
          <w:szCs w:val="22"/>
        </w:rPr>
        <w:t>）均不产生合约利益关系。此约定业务的服务并非为任何第三方的明示或默示的利益。除贵方以外，任何第三方没有权利以任何形式或基于任何目的，依赖</w:t>
      </w:r>
      <w:r w:rsidRPr="007072FB">
        <w:rPr>
          <w:rFonts w:ascii="Verdana" w:eastAsia="华文细黑" w:hAnsi="Verdana" w:cs="Calibri"/>
          <w:sz w:val="22"/>
          <w:szCs w:val="22"/>
        </w:rPr>
        <w:t>“</w:t>
      </w:r>
      <w:r w:rsidRPr="007072FB">
        <w:rPr>
          <w:rFonts w:ascii="Verdana" w:eastAsia="华文细黑" w:hAnsi="Verdana" w:cs="Calibri"/>
          <w:sz w:val="22"/>
          <w:szCs w:val="22"/>
        </w:rPr>
        <w:t>德勤</w:t>
      </w:r>
      <w:r w:rsidRPr="007072FB">
        <w:rPr>
          <w:rFonts w:ascii="Verdana" w:eastAsia="华文细黑" w:hAnsi="Verdana" w:cs="Calibri"/>
          <w:sz w:val="22"/>
          <w:szCs w:val="22"/>
        </w:rPr>
        <w:t>”</w:t>
      </w:r>
      <w:r w:rsidRPr="007072FB">
        <w:rPr>
          <w:rFonts w:ascii="Verdana" w:eastAsia="华文细黑" w:hAnsi="Verdana" w:cs="Calibri"/>
          <w:sz w:val="22"/>
          <w:szCs w:val="22"/>
        </w:rPr>
        <w:t>的提交物、建议、评论、报告或其他服务；</w:t>
      </w:r>
    </w:p>
    <w:p w14:paraId="7767D0A2" w14:textId="77777777" w:rsidR="000D1B9A" w:rsidRPr="007072FB" w:rsidRDefault="00000000">
      <w:pPr>
        <w:pStyle w:val="aff"/>
        <w:numPr>
          <w:ilvl w:val="0"/>
          <w:numId w:val="1"/>
        </w:numPr>
        <w:spacing w:before="120" w:after="120" w:line="360" w:lineRule="auto"/>
        <w:ind w:left="414" w:hanging="357"/>
        <w:contextualSpacing w:val="0"/>
        <w:jc w:val="both"/>
        <w:rPr>
          <w:rFonts w:ascii="Verdana" w:eastAsia="华文细黑" w:hAnsi="Verdana" w:cs="Calibri"/>
          <w:sz w:val="22"/>
          <w:szCs w:val="22"/>
        </w:rPr>
      </w:pPr>
      <w:r w:rsidRPr="007072FB">
        <w:rPr>
          <w:rFonts w:ascii="Verdana" w:eastAsia="华文细黑" w:hAnsi="Verdana" w:cs="Calibri"/>
          <w:sz w:val="22"/>
          <w:szCs w:val="22"/>
        </w:rPr>
        <w:t>我们不会对任何第三方承担任何义务和责任（包括但不限于疏忽引起的责任）。如有任何第三方依赖我们报告的情况，贵方同意将保护德勤，其关联机构以及人员免受任何与向第三方披露报告（无论是否经过我们的同意）有关的第三方索偿或责任的影响，并补偿所产生的诉讼费以及其他费用。</w:t>
      </w:r>
    </w:p>
    <w:p w14:paraId="64BBBDE0" w14:textId="77777777" w:rsidR="000D1B9A" w:rsidRPr="007072FB" w:rsidRDefault="000D1B9A">
      <w:pPr>
        <w:spacing w:after="160" w:line="259" w:lineRule="auto"/>
        <w:rPr>
          <w:rFonts w:ascii="Verdana" w:eastAsia="华文细黑" w:hAnsi="Verdana" w:cs="Calibri"/>
          <w:b/>
        </w:rPr>
      </w:pPr>
    </w:p>
    <w:p w14:paraId="1170314A" w14:textId="77777777" w:rsidR="000D1B9A" w:rsidRPr="007072FB" w:rsidRDefault="000D1B9A">
      <w:pPr>
        <w:spacing w:before="120" w:after="120" w:line="360" w:lineRule="auto"/>
        <w:ind w:firstLine="510"/>
        <w:jc w:val="both"/>
        <w:rPr>
          <w:rFonts w:ascii="Verdana" w:eastAsia="华文细黑" w:hAnsi="Verdana" w:cs="Calibri"/>
          <w:color w:val="000000"/>
        </w:rPr>
      </w:pPr>
    </w:p>
    <w:p w14:paraId="181FA17A" w14:textId="77777777" w:rsidR="000D1B9A" w:rsidRPr="007072FB" w:rsidRDefault="000D1B9A">
      <w:pPr>
        <w:rPr>
          <w:rFonts w:ascii="Verdana" w:eastAsia="华文细黑" w:hAnsi="Verdana" w:cs="Calibri"/>
        </w:rPr>
      </w:pPr>
    </w:p>
    <w:sectPr w:rsidR="000D1B9A" w:rsidRPr="007072FB">
      <w:footerReference w:type="default" r:id="rId22"/>
      <w:pgSz w:w="12240" w:h="15840"/>
      <w:pgMar w:top="1440" w:right="1418" w:bottom="1440" w:left="1797" w:header="709" w:footer="85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5213BE" w14:textId="77777777" w:rsidR="005C5026" w:rsidRDefault="005C5026">
      <w:r>
        <w:separator/>
      </w:r>
    </w:p>
  </w:endnote>
  <w:endnote w:type="continuationSeparator" w:id="0">
    <w:p w14:paraId="493F002C" w14:textId="77777777" w:rsidR="005C5026" w:rsidRDefault="005C50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embedRegular r:id="rId1" w:fontKey="{18669D94-7E2B-4085-9DA3-DFD7577CA72F}"/>
    <w:embedBold r:id="rId2" w:fontKey="{5A4EE102-805D-4EC7-9D15-1B9ADFE3F898}"/>
  </w:font>
  <w:font w:name="黑体">
    <w:altName w:val="SimHei"/>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LF_Kai">
    <w:altName w:val="宋体"/>
    <w:charset w:val="86"/>
    <w:family w:val="auto"/>
    <w:pitch w:val="default"/>
    <w:sig w:usb0="00000000" w:usb1="00000000" w:usb2="00000010" w:usb3="00000000" w:csb0="00040000" w:csb1="00000000"/>
  </w:font>
  <w:font w:name="Segoe UI">
    <w:panose1 w:val="020B0502040204020203"/>
    <w:charset w:val="00"/>
    <w:family w:val="swiss"/>
    <w:pitch w:val="variable"/>
    <w:sig w:usb0="E4002EFF" w:usb1="C000E47F" w:usb2="00000009" w:usb3="00000000" w:csb0="000001FF" w:csb1="00000000"/>
  </w:font>
  <w:font w:name="华文细黑">
    <w:panose1 w:val="02010600040101010101"/>
    <w:charset w:val="86"/>
    <w:family w:val="auto"/>
    <w:pitch w:val="variable"/>
    <w:sig w:usb0="00000287" w:usb1="080F0000" w:usb2="00000010" w:usb3="00000000" w:csb0="0004009F" w:csb1="00000000"/>
    <w:embedRegular r:id="rId3" w:subsetted="1" w:fontKey="{D669ED2A-04AA-4CC4-8B21-D13ECCB709C9}"/>
    <w:embedBold r:id="rId4" w:subsetted="1" w:fontKey="{FA2803BA-0B70-4D5A-92B6-0A14D0F35411}"/>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1023E5" w14:textId="58EDDD34" w:rsidR="000D1B9A" w:rsidRDefault="00000000">
    <w:pPr>
      <w:pStyle w:val="ad"/>
    </w:pPr>
    <w:sdt>
      <w:sdtPr>
        <w:id w:val="482127086"/>
      </w:sdtPr>
      <w:sdtContent>
        <w:r>
          <w:rPr>
            <w:rFonts w:ascii="Verdana" w:eastAsia="华文细黑" w:hAnsi="Verdana" w:cs="Arial"/>
            <w:sz w:val="16"/>
            <w:lang w:val="fr-FR"/>
          </w:rPr>
          <w:t>©</w:t>
        </w:r>
        <w:r w:rsidR="00532163">
          <w:rPr>
            <w:rFonts w:ascii="Verdana" w:eastAsia="华文细黑" w:hAnsi="Verdana" w:cs="Arial"/>
            <w:sz w:val="16"/>
            <w:lang w:val="fr-FR"/>
          </w:rPr>
          <w:t>20</w:t>
        </w:r>
        <w:r w:rsidR="00532163">
          <w:rPr>
            <w:rFonts w:ascii="Verdana" w:eastAsia="华文细黑" w:hAnsi="Verdana" w:cs="Arial" w:hint="eastAsia"/>
            <w:sz w:val="16"/>
            <w:lang w:val="fr-FR"/>
          </w:rPr>
          <w:t>2</w:t>
        </w:r>
        <w:r w:rsidR="00532163">
          <w:rPr>
            <w:rFonts w:ascii="Verdana" w:eastAsia="华文细黑" w:hAnsi="Verdana" w:cs="Arial"/>
            <w:sz w:val="16"/>
            <w:lang w:val="fr-FR"/>
          </w:rPr>
          <w:t>4</w:t>
        </w:r>
        <w:r>
          <w:rPr>
            <w:rFonts w:ascii="Verdana" w:eastAsia="华文细黑" w:hAnsi="Verdana" w:cs="Arial" w:hint="eastAsia"/>
            <w:sz w:val="16"/>
            <w:lang w:val="fr-FR"/>
          </w:rPr>
          <w:t>德勤咨询（海南）有限公司</w:t>
        </w:r>
      </w:sdtContent>
    </w:sdt>
  </w:p>
  <w:p w14:paraId="103DB7C6" w14:textId="77777777" w:rsidR="000D1B9A" w:rsidRDefault="000D1B9A">
    <w:pPr>
      <w:pStyle w:val="ad"/>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0166467"/>
    </w:sdtPr>
    <w:sdtEndPr>
      <w:rPr>
        <w:rFonts w:ascii="Verdana" w:hAnsi="Verdana"/>
        <w:sz w:val="20"/>
        <w:szCs w:val="20"/>
      </w:rPr>
    </w:sdtEndPr>
    <w:sdtContent>
      <w:p w14:paraId="2DF543EA" w14:textId="77777777" w:rsidR="000D1B9A" w:rsidRDefault="00000000">
        <w:pPr>
          <w:pStyle w:val="ad"/>
          <w:jc w:val="center"/>
          <w:rPr>
            <w:rFonts w:ascii="Verdana" w:hAnsi="Verdana"/>
            <w:sz w:val="20"/>
            <w:szCs w:val="20"/>
          </w:rPr>
        </w:pPr>
        <w:r>
          <w:rPr>
            <w:rFonts w:ascii="Verdana" w:hAnsi="Verdana"/>
            <w:sz w:val="20"/>
            <w:szCs w:val="20"/>
          </w:rPr>
          <w:fldChar w:fldCharType="begin"/>
        </w:r>
        <w:r>
          <w:rPr>
            <w:rFonts w:ascii="Verdana" w:hAnsi="Verdana"/>
            <w:sz w:val="20"/>
            <w:szCs w:val="20"/>
          </w:rPr>
          <w:instrText xml:space="preserve"> PAGE   \* MERGEFORMAT </w:instrText>
        </w:r>
        <w:r>
          <w:rPr>
            <w:rFonts w:ascii="Verdana" w:hAnsi="Verdana"/>
            <w:sz w:val="20"/>
            <w:szCs w:val="20"/>
          </w:rPr>
          <w:fldChar w:fldCharType="separate"/>
        </w:r>
        <w:r>
          <w:rPr>
            <w:rFonts w:ascii="Verdana" w:hAnsi="Verdana"/>
            <w:sz w:val="20"/>
            <w:szCs w:val="20"/>
          </w:rPr>
          <w:t>12</w:t>
        </w:r>
        <w:r>
          <w:rPr>
            <w:rFonts w:ascii="Verdana" w:hAnsi="Verdana"/>
            <w:sz w:val="20"/>
            <w:szCs w:val="20"/>
          </w:rPr>
          <w:fldChar w:fldCharType="end"/>
        </w:r>
      </w:p>
    </w:sdtContent>
  </w:sdt>
  <w:p w14:paraId="353B376F" w14:textId="5C1EFA20" w:rsidR="000D1B9A" w:rsidRDefault="00000000">
    <w:pPr>
      <w:pStyle w:val="ad"/>
    </w:pPr>
    <w:sdt>
      <w:sdtPr>
        <w:id w:val="-747195781"/>
      </w:sdtPr>
      <w:sdtContent>
        <w:r>
          <w:rPr>
            <w:rFonts w:ascii="Verdana" w:eastAsia="华文细黑" w:hAnsi="Verdana" w:cs="Arial"/>
            <w:sz w:val="16"/>
            <w:lang w:val="fr-FR"/>
          </w:rPr>
          <w:t>©</w:t>
        </w:r>
        <w:r w:rsidR="00532163">
          <w:rPr>
            <w:rFonts w:ascii="Verdana" w:eastAsia="华文细黑" w:hAnsi="Verdana" w:cs="Arial"/>
            <w:sz w:val="16"/>
            <w:lang w:val="fr-FR"/>
          </w:rPr>
          <w:t>20</w:t>
        </w:r>
        <w:r w:rsidR="00532163">
          <w:rPr>
            <w:rFonts w:ascii="Verdana" w:eastAsia="华文细黑" w:hAnsi="Verdana" w:cs="Arial" w:hint="eastAsia"/>
            <w:sz w:val="16"/>
            <w:lang w:val="fr-FR"/>
          </w:rPr>
          <w:t>2</w:t>
        </w:r>
        <w:r w:rsidR="00532163">
          <w:rPr>
            <w:rFonts w:ascii="Verdana" w:eastAsia="华文细黑" w:hAnsi="Verdana" w:cs="Arial"/>
            <w:sz w:val="16"/>
            <w:lang w:val="fr-FR"/>
          </w:rPr>
          <w:t>4</w:t>
        </w:r>
        <w:r>
          <w:rPr>
            <w:rFonts w:ascii="Verdana" w:eastAsia="华文细黑" w:hAnsi="Verdana" w:cs="Arial" w:hint="eastAsia"/>
            <w:sz w:val="16"/>
            <w:lang w:val="fr-FR"/>
          </w:rPr>
          <w:t>德勤咨询（海南）有限公司</w:t>
        </w:r>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89709014"/>
    </w:sdtPr>
    <w:sdtEndPr>
      <w:rPr>
        <w:rFonts w:ascii="Verdana" w:hAnsi="Verdana"/>
        <w:sz w:val="20"/>
        <w:szCs w:val="20"/>
      </w:rPr>
    </w:sdtEndPr>
    <w:sdtContent>
      <w:p w14:paraId="0DBF16C3" w14:textId="77777777" w:rsidR="000D1B9A" w:rsidRDefault="00000000">
        <w:pPr>
          <w:pStyle w:val="ad"/>
          <w:jc w:val="center"/>
          <w:rPr>
            <w:rFonts w:ascii="Verdana" w:hAnsi="Verdana"/>
            <w:sz w:val="20"/>
            <w:szCs w:val="20"/>
          </w:rPr>
        </w:pPr>
        <w:r>
          <w:rPr>
            <w:rFonts w:ascii="Verdana" w:hAnsi="Verdana"/>
            <w:sz w:val="20"/>
            <w:szCs w:val="20"/>
          </w:rPr>
          <w:fldChar w:fldCharType="begin"/>
        </w:r>
        <w:r>
          <w:rPr>
            <w:rFonts w:ascii="Verdana" w:hAnsi="Verdana"/>
            <w:sz w:val="20"/>
            <w:szCs w:val="20"/>
          </w:rPr>
          <w:instrText xml:space="preserve"> PAGE   \* MERGEFORMAT </w:instrText>
        </w:r>
        <w:r>
          <w:rPr>
            <w:rFonts w:ascii="Verdana" w:hAnsi="Verdana"/>
            <w:sz w:val="20"/>
            <w:szCs w:val="20"/>
          </w:rPr>
          <w:fldChar w:fldCharType="separate"/>
        </w:r>
        <w:r>
          <w:rPr>
            <w:rFonts w:ascii="Verdana" w:hAnsi="Verdana"/>
            <w:sz w:val="20"/>
            <w:szCs w:val="20"/>
          </w:rPr>
          <w:t>13</w:t>
        </w:r>
        <w:r>
          <w:rPr>
            <w:rFonts w:ascii="Verdana" w:hAnsi="Verdana"/>
            <w:sz w:val="20"/>
            <w:szCs w:val="20"/>
          </w:rPr>
          <w:fldChar w:fldCharType="end"/>
        </w:r>
      </w:p>
    </w:sdtContent>
  </w:sdt>
  <w:p w14:paraId="76D8E12C" w14:textId="3E628379" w:rsidR="000D1B9A" w:rsidRDefault="00000000">
    <w:pPr>
      <w:pStyle w:val="ad"/>
    </w:pPr>
    <w:sdt>
      <w:sdtPr>
        <w:id w:val="994077342"/>
      </w:sdtPr>
      <w:sdtContent>
        <w:r>
          <w:rPr>
            <w:rFonts w:ascii="Verdana" w:eastAsia="华文细黑" w:hAnsi="Verdana" w:cs="Arial"/>
            <w:sz w:val="16"/>
            <w:lang w:val="fr-FR"/>
          </w:rPr>
          <w:t>©</w:t>
        </w:r>
        <w:r w:rsidR="00532163">
          <w:rPr>
            <w:rFonts w:ascii="Verdana" w:eastAsia="华文细黑" w:hAnsi="Verdana" w:cs="Arial"/>
            <w:sz w:val="16"/>
            <w:lang w:val="fr-FR"/>
          </w:rPr>
          <w:t>20</w:t>
        </w:r>
        <w:r w:rsidR="00532163">
          <w:rPr>
            <w:rFonts w:ascii="Verdana" w:eastAsia="华文细黑" w:hAnsi="Verdana" w:cs="Arial" w:hint="eastAsia"/>
            <w:sz w:val="16"/>
            <w:lang w:val="fr-FR"/>
          </w:rPr>
          <w:t>2</w:t>
        </w:r>
        <w:r w:rsidR="00532163">
          <w:rPr>
            <w:rFonts w:ascii="Verdana" w:eastAsia="华文细黑" w:hAnsi="Verdana" w:cs="Arial"/>
            <w:sz w:val="16"/>
            <w:lang w:val="fr-FR"/>
          </w:rPr>
          <w:t>4</w:t>
        </w:r>
        <w:r>
          <w:rPr>
            <w:rFonts w:ascii="Verdana" w:eastAsia="华文细黑" w:hAnsi="Verdana" w:cs="Arial" w:hint="eastAsia"/>
            <w:sz w:val="16"/>
            <w:lang w:val="fr-FR"/>
          </w:rPr>
          <w:t>德勤咨询（海南）有限公司</w:t>
        </w:r>
      </w:sdtContent>
    </w:sdt>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4220602"/>
    </w:sdtPr>
    <w:sdtEndPr>
      <w:rPr>
        <w:rFonts w:ascii="Verdana" w:hAnsi="Verdana"/>
        <w:sz w:val="20"/>
        <w:szCs w:val="20"/>
      </w:rPr>
    </w:sdtEndPr>
    <w:sdtContent>
      <w:p w14:paraId="2502DCD0" w14:textId="77777777" w:rsidR="000D1B9A" w:rsidRDefault="00000000">
        <w:pPr>
          <w:pStyle w:val="ad"/>
          <w:jc w:val="center"/>
          <w:rPr>
            <w:rFonts w:ascii="Verdana" w:hAnsi="Verdana"/>
            <w:sz w:val="20"/>
            <w:szCs w:val="20"/>
          </w:rPr>
        </w:pPr>
        <w:r>
          <w:rPr>
            <w:rFonts w:ascii="Verdana" w:hAnsi="Verdana"/>
            <w:sz w:val="20"/>
            <w:szCs w:val="20"/>
          </w:rPr>
          <w:fldChar w:fldCharType="begin"/>
        </w:r>
        <w:r>
          <w:rPr>
            <w:rFonts w:ascii="Verdana" w:hAnsi="Verdana"/>
            <w:sz w:val="20"/>
            <w:szCs w:val="20"/>
          </w:rPr>
          <w:instrText xml:space="preserve"> PAGE   \* MERGEFORMAT </w:instrText>
        </w:r>
        <w:r>
          <w:rPr>
            <w:rFonts w:ascii="Verdana" w:hAnsi="Verdana"/>
            <w:sz w:val="20"/>
            <w:szCs w:val="20"/>
          </w:rPr>
          <w:fldChar w:fldCharType="separate"/>
        </w:r>
        <w:r>
          <w:rPr>
            <w:rFonts w:ascii="Verdana" w:hAnsi="Verdana"/>
            <w:sz w:val="20"/>
            <w:szCs w:val="20"/>
          </w:rPr>
          <w:t>14</w:t>
        </w:r>
        <w:r>
          <w:rPr>
            <w:rFonts w:ascii="Verdana" w:hAnsi="Verdana"/>
            <w:sz w:val="20"/>
            <w:szCs w:val="20"/>
          </w:rPr>
          <w:fldChar w:fldCharType="end"/>
        </w:r>
      </w:p>
    </w:sdtContent>
  </w:sdt>
  <w:p w14:paraId="79DDDE84" w14:textId="1FCAB82A" w:rsidR="000D1B9A" w:rsidRDefault="00000000">
    <w:pPr>
      <w:pStyle w:val="ad"/>
    </w:pPr>
    <w:sdt>
      <w:sdtPr>
        <w:id w:val="2142922266"/>
      </w:sdtPr>
      <w:sdtContent>
        <w:r>
          <w:rPr>
            <w:rFonts w:ascii="Verdana" w:eastAsia="华文细黑" w:hAnsi="Verdana" w:cs="Arial"/>
            <w:sz w:val="16"/>
            <w:lang w:val="fr-FR"/>
          </w:rPr>
          <w:t>©</w:t>
        </w:r>
        <w:r w:rsidR="00532163">
          <w:rPr>
            <w:rFonts w:ascii="Verdana" w:eastAsia="华文细黑" w:hAnsi="Verdana" w:cs="Arial"/>
            <w:sz w:val="16"/>
            <w:lang w:val="fr-FR"/>
          </w:rPr>
          <w:t>20</w:t>
        </w:r>
        <w:r w:rsidR="00532163">
          <w:rPr>
            <w:rFonts w:ascii="Verdana" w:eastAsia="华文细黑" w:hAnsi="Verdana" w:cs="Arial" w:hint="eastAsia"/>
            <w:sz w:val="16"/>
            <w:lang w:val="fr-FR"/>
          </w:rPr>
          <w:t>2</w:t>
        </w:r>
        <w:r w:rsidR="00532163">
          <w:rPr>
            <w:rFonts w:ascii="Verdana" w:eastAsia="华文细黑" w:hAnsi="Verdana" w:cs="Arial"/>
            <w:sz w:val="16"/>
            <w:lang w:val="fr-FR"/>
          </w:rPr>
          <w:t>4</w:t>
        </w:r>
        <w:r>
          <w:rPr>
            <w:rFonts w:ascii="Verdana" w:eastAsia="华文细黑" w:hAnsi="Verdana" w:cs="Arial" w:hint="eastAsia"/>
            <w:sz w:val="16"/>
            <w:lang w:val="fr-FR"/>
          </w:rPr>
          <w:t>德勤咨询（海南）有限公司</w:t>
        </w:r>
      </w:sdtContent>
    </w:sdt>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73950790"/>
    </w:sdtPr>
    <w:sdtEndPr>
      <w:rPr>
        <w:rFonts w:ascii="Verdana" w:hAnsi="Verdana"/>
        <w:sz w:val="20"/>
        <w:szCs w:val="20"/>
      </w:rPr>
    </w:sdtEndPr>
    <w:sdtContent>
      <w:p w14:paraId="71D8E572" w14:textId="77777777" w:rsidR="000D1B9A" w:rsidRDefault="00000000">
        <w:pPr>
          <w:pStyle w:val="ad"/>
          <w:jc w:val="center"/>
          <w:rPr>
            <w:rFonts w:ascii="Verdana" w:hAnsi="Verdana"/>
            <w:sz w:val="20"/>
            <w:szCs w:val="20"/>
          </w:rPr>
        </w:pPr>
        <w:r>
          <w:rPr>
            <w:rFonts w:ascii="Verdana" w:hAnsi="Verdana"/>
            <w:sz w:val="20"/>
            <w:szCs w:val="20"/>
          </w:rPr>
          <w:fldChar w:fldCharType="begin"/>
        </w:r>
        <w:r>
          <w:rPr>
            <w:rFonts w:ascii="Verdana" w:hAnsi="Verdana"/>
            <w:sz w:val="20"/>
            <w:szCs w:val="20"/>
          </w:rPr>
          <w:instrText xml:space="preserve"> PAGE   \* MERGEFORMAT </w:instrText>
        </w:r>
        <w:r>
          <w:rPr>
            <w:rFonts w:ascii="Verdana" w:hAnsi="Verdana"/>
            <w:sz w:val="20"/>
            <w:szCs w:val="20"/>
          </w:rPr>
          <w:fldChar w:fldCharType="separate"/>
        </w:r>
        <w:r>
          <w:rPr>
            <w:rFonts w:ascii="Verdana" w:hAnsi="Verdana"/>
            <w:sz w:val="20"/>
            <w:szCs w:val="20"/>
          </w:rPr>
          <w:t>16</w:t>
        </w:r>
        <w:r>
          <w:rPr>
            <w:rFonts w:ascii="Verdana" w:hAnsi="Verdana"/>
            <w:sz w:val="20"/>
            <w:szCs w:val="20"/>
          </w:rPr>
          <w:fldChar w:fldCharType="end"/>
        </w:r>
      </w:p>
    </w:sdtContent>
  </w:sdt>
  <w:p w14:paraId="28E73742" w14:textId="58D9B181" w:rsidR="000D1B9A" w:rsidRDefault="00000000">
    <w:pPr>
      <w:pStyle w:val="ad"/>
    </w:pPr>
    <w:sdt>
      <w:sdtPr>
        <w:id w:val="74557754"/>
      </w:sdtPr>
      <w:sdtContent>
        <w:r>
          <w:rPr>
            <w:rFonts w:ascii="Verdana" w:eastAsia="华文细黑" w:hAnsi="Verdana" w:cs="Arial"/>
            <w:sz w:val="16"/>
            <w:lang w:val="fr-FR"/>
          </w:rPr>
          <w:t>©</w:t>
        </w:r>
        <w:r w:rsidR="00532163">
          <w:rPr>
            <w:rFonts w:ascii="Verdana" w:eastAsia="华文细黑" w:hAnsi="Verdana" w:cs="Arial"/>
            <w:sz w:val="16"/>
            <w:lang w:val="fr-FR"/>
          </w:rPr>
          <w:t>20</w:t>
        </w:r>
        <w:r w:rsidR="00532163">
          <w:rPr>
            <w:rFonts w:ascii="Verdana" w:eastAsia="华文细黑" w:hAnsi="Verdana" w:cs="Arial" w:hint="eastAsia"/>
            <w:sz w:val="16"/>
            <w:lang w:val="fr-FR"/>
          </w:rPr>
          <w:t>2</w:t>
        </w:r>
        <w:r w:rsidR="00532163">
          <w:rPr>
            <w:rFonts w:ascii="Verdana" w:eastAsia="华文细黑" w:hAnsi="Verdana" w:cs="Arial"/>
            <w:sz w:val="16"/>
            <w:lang w:val="fr-FR"/>
          </w:rPr>
          <w:t>4</w:t>
        </w:r>
        <w:r>
          <w:rPr>
            <w:rFonts w:ascii="Verdana" w:eastAsia="华文细黑" w:hAnsi="Verdana" w:cs="Arial" w:hint="eastAsia"/>
            <w:sz w:val="16"/>
            <w:lang w:val="fr-FR"/>
          </w:rPr>
          <w:t>德勤咨询（海南）有限公司</w:t>
        </w:r>
      </w:sdtContent>
    </w:sdt>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97755634"/>
    </w:sdtPr>
    <w:sdtEndPr>
      <w:rPr>
        <w:rFonts w:ascii="Verdana" w:hAnsi="Verdana"/>
        <w:sz w:val="20"/>
        <w:szCs w:val="20"/>
      </w:rPr>
    </w:sdtEndPr>
    <w:sdtContent>
      <w:p w14:paraId="2A129916" w14:textId="77777777" w:rsidR="000D1B9A" w:rsidRDefault="00000000">
        <w:pPr>
          <w:pStyle w:val="ad"/>
          <w:jc w:val="center"/>
          <w:rPr>
            <w:rFonts w:ascii="Verdana" w:hAnsi="Verdana"/>
            <w:sz w:val="20"/>
            <w:szCs w:val="20"/>
          </w:rPr>
        </w:pPr>
        <w:r>
          <w:rPr>
            <w:rFonts w:ascii="Verdana" w:hAnsi="Verdana"/>
            <w:sz w:val="20"/>
            <w:szCs w:val="20"/>
          </w:rPr>
          <w:fldChar w:fldCharType="begin"/>
        </w:r>
        <w:r>
          <w:rPr>
            <w:rFonts w:ascii="Verdana" w:hAnsi="Verdana"/>
            <w:sz w:val="20"/>
            <w:szCs w:val="20"/>
          </w:rPr>
          <w:instrText xml:space="preserve"> PAGE   \* MERGEFORMAT </w:instrText>
        </w:r>
        <w:r>
          <w:rPr>
            <w:rFonts w:ascii="Verdana" w:hAnsi="Verdana"/>
            <w:sz w:val="20"/>
            <w:szCs w:val="20"/>
          </w:rPr>
          <w:fldChar w:fldCharType="separate"/>
        </w:r>
        <w:r>
          <w:rPr>
            <w:rFonts w:ascii="Verdana" w:hAnsi="Verdana"/>
            <w:sz w:val="20"/>
            <w:szCs w:val="20"/>
          </w:rPr>
          <w:t>18</w:t>
        </w:r>
        <w:r>
          <w:rPr>
            <w:rFonts w:ascii="Verdana" w:hAnsi="Verdana"/>
            <w:sz w:val="20"/>
            <w:szCs w:val="20"/>
          </w:rPr>
          <w:fldChar w:fldCharType="end"/>
        </w:r>
      </w:p>
    </w:sdtContent>
  </w:sdt>
  <w:p w14:paraId="2687A6E7" w14:textId="5B40A67B" w:rsidR="000D1B9A" w:rsidRDefault="00000000">
    <w:pPr>
      <w:pStyle w:val="ad"/>
    </w:pPr>
    <w:sdt>
      <w:sdtPr>
        <w:id w:val="1959294268"/>
      </w:sdtPr>
      <w:sdtContent>
        <w:r>
          <w:rPr>
            <w:rFonts w:ascii="Verdana" w:eastAsia="华文细黑" w:hAnsi="Verdana" w:cs="Arial"/>
            <w:sz w:val="16"/>
            <w:lang w:val="fr-FR"/>
          </w:rPr>
          <w:t>©</w:t>
        </w:r>
        <w:r w:rsidR="00532163">
          <w:rPr>
            <w:rFonts w:ascii="Verdana" w:eastAsia="华文细黑" w:hAnsi="Verdana" w:cs="Arial"/>
            <w:sz w:val="16"/>
            <w:lang w:val="fr-FR"/>
          </w:rPr>
          <w:t>20</w:t>
        </w:r>
        <w:r w:rsidR="00532163">
          <w:rPr>
            <w:rFonts w:ascii="Verdana" w:eastAsia="华文细黑" w:hAnsi="Verdana" w:cs="Arial" w:hint="eastAsia"/>
            <w:sz w:val="16"/>
            <w:lang w:val="fr-FR"/>
          </w:rPr>
          <w:t>2</w:t>
        </w:r>
        <w:r w:rsidR="00532163">
          <w:rPr>
            <w:rFonts w:ascii="Verdana" w:eastAsia="华文细黑" w:hAnsi="Verdana" w:cs="Arial"/>
            <w:sz w:val="16"/>
            <w:lang w:val="fr-FR"/>
          </w:rPr>
          <w:t>4</w:t>
        </w:r>
        <w:r>
          <w:rPr>
            <w:rFonts w:ascii="Verdana" w:eastAsia="华文细黑" w:hAnsi="Verdana" w:cs="Arial" w:hint="eastAsia"/>
            <w:sz w:val="16"/>
            <w:lang w:val="fr-FR"/>
          </w:rPr>
          <w:t>德勤咨询（海南）有限公司</w:t>
        </w:r>
      </w:sdtContent>
    </w:sdt>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167832" w14:textId="77777777" w:rsidR="000D1B9A" w:rsidRDefault="00000000">
    <w:pPr>
      <w:pStyle w:val="ad"/>
      <w:jc w:val="center"/>
      <w:rPr>
        <w:rFonts w:ascii="Verdana" w:hAnsi="Verdana"/>
        <w:sz w:val="20"/>
        <w:szCs w:val="20"/>
      </w:rPr>
    </w:pPr>
    <w:r>
      <w:rPr>
        <w:rFonts w:ascii="Verdana" w:hAnsi="Verdana"/>
        <w:sz w:val="20"/>
        <w:szCs w:val="20"/>
      </w:rPr>
      <w:fldChar w:fldCharType="begin"/>
    </w:r>
    <w:r>
      <w:rPr>
        <w:rFonts w:ascii="Verdana" w:hAnsi="Verdana"/>
        <w:sz w:val="20"/>
        <w:szCs w:val="20"/>
      </w:rPr>
      <w:instrText xml:space="preserve"> PAGE   \* MERGEFORMAT </w:instrText>
    </w:r>
    <w:r>
      <w:rPr>
        <w:rFonts w:ascii="Verdana" w:hAnsi="Verdana"/>
        <w:sz w:val="20"/>
        <w:szCs w:val="20"/>
      </w:rPr>
      <w:fldChar w:fldCharType="separate"/>
    </w:r>
    <w:r>
      <w:rPr>
        <w:rFonts w:ascii="Verdana" w:hAnsi="Verdana"/>
        <w:sz w:val="20"/>
        <w:szCs w:val="20"/>
      </w:rPr>
      <w:t>22</w:t>
    </w:r>
    <w:r>
      <w:rPr>
        <w:rFonts w:ascii="Verdana" w:hAnsi="Verdana"/>
        <w:sz w:val="20"/>
        <w:szCs w:val="20"/>
      </w:rPr>
      <w:fldChar w:fldCharType="end"/>
    </w:r>
  </w:p>
  <w:p w14:paraId="2D0DF3D3" w14:textId="50156D7A" w:rsidR="000D1B9A" w:rsidRDefault="00000000">
    <w:pPr>
      <w:pStyle w:val="ad"/>
    </w:pPr>
    <w:r>
      <w:rPr>
        <w:rFonts w:ascii="Verdana" w:eastAsia="华文细黑" w:hAnsi="Verdana" w:cs="Arial"/>
        <w:sz w:val="16"/>
        <w:lang w:val="fr-FR"/>
      </w:rPr>
      <w:t>©</w:t>
    </w:r>
    <w:r w:rsidR="00532163">
      <w:rPr>
        <w:rFonts w:ascii="Verdana" w:eastAsia="华文细黑" w:hAnsi="Verdana" w:cs="Arial"/>
        <w:sz w:val="16"/>
        <w:lang w:val="fr-FR"/>
      </w:rPr>
      <w:t>20</w:t>
    </w:r>
    <w:r w:rsidR="00532163">
      <w:rPr>
        <w:rFonts w:ascii="Verdana" w:eastAsia="华文细黑" w:hAnsi="Verdana" w:cs="Arial" w:hint="eastAsia"/>
        <w:sz w:val="16"/>
        <w:lang w:val="fr-FR"/>
      </w:rPr>
      <w:t>2</w:t>
    </w:r>
    <w:r w:rsidR="00532163">
      <w:rPr>
        <w:rFonts w:ascii="Verdana" w:eastAsia="华文细黑" w:hAnsi="Verdana" w:cs="Arial"/>
        <w:sz w:val="16"/>
        <w:lang w:val="fr-FR"/>
      </w:rPr>
      <w:t>4</w:t>
    </w:r>
    <w:r>
      <w:rPr>
        <w:rFonts w:ascii="Verdana" w:eastAsia="华文细黑" w:hAnsi="Verdana" w:cs="Arial" w:hint="eastAsia"/>
        <w:sz w:val="16"/>
        <w:lang w:val="fr-FR"/>
      </w:rPr>
      <w:t>德勤咨询（海南）有限公司</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BCD316" w14:textId="77777777" w:rsidR="000D1B9A" w:rsidRDefault="00000000">
    <w:pPr>
      <w:pStyle w:val="ad"/>
      <w:jc w:val="center"/>
      <w:rPr>
        <w:rFonts w:ascii="Verdana" w:hAnsi="Verdana"/>
        <w:sz w:val="20"/>
        <w:szCs w:val="20"/>
      </w:rPr>
    </w:pPr>
    <w:r>
      <w:rPr>
        <w:rFonts w:ascii="Verdana" w:hAnsi="Verdana"/>
        <w:sz w:val="20"/>
        <w:szCs w:val="20"/>
      </w:rPr>
      <w:fldChar w:fldCharType="begin"/>
    </w:r>
    <w:r>
      <w:rPr>
        <w:rFonts w:ascii="Verdana" w:hAnsi="Verdana"/>
        <w:sz w:val="20"/>
        <w:szCs w:val="20"/>
      </w:rPr>
      <w:instrText xml:space="preserve"> PAGE   \* MERGEFORMAT </w:instrText>
    </w:r>
    <w:r>
      <w:rPr>
        <w:rFonts w:ascii="Verdana" w:hAnsi="Verdana"/>
        <w:sz w:val="20"/>
        <w:szCs w:val="20"/>
      </w:rPr>
      <w:fldChar w:fldCharType="separate"/>
    </w:r>
    <w:r>
      <w:rPr>
        <w:rFonts w:ascii="Verdana" w:hAnsi="Verdana"/>
        <w:sz w:val="20"/>
        <w:szCs w:val="20"/>
      </w:rPr>
      <w:t>23</w:t>
    </w:r>
    <w:r>
      <w:rPr>
        <w:rFonts w:ascii="Verdana" w:hAnsi="Verdana"/>
        <w:sz w:val="20"/>
        <w:szCs w:val="20"/>
      </w:rPr>
      <w:fldChar w:fldCharType="end"/>
    </w:r>
  </w:p>
  <w:p w14:paraId="1FFAADF7" w14:textId="54D358E3" w:rsidR="000D1B9A" w:rsidRDefault="00000000">
    <w:pPr>
      <w:pStyle w:val="ad"/>
    </w:pPr>
    <w:r>
      <w:rPr>
        <w:rFonts w:ascii="Verdana" w:eastAsia="华文细黑" w:hAnsi="Verdana" w:cs="Arial"/>
        <w:sz w:val="16"/>
        <w:lang w:val="fr-FR"/>
      </w:rPr>
      <w:t>©</w:t>
    </w:r>
    <w:r w:rsidR="00532163">
      <w:rPr>
        <w:rFonts w:ascii="Verdana" w:eastAsia="华文细黑" w:hAnsi="Verdana" w:cs="Arial"/>
        <w:sz w:val="16"/>
        <w:lang w:val="fr-FR"/>
      </w:rPr>
      <w:t>20</w:t>
    </w:r>
    <w:r w:rsidR="00532163">
      <w:rPr>
        <w:rFonts w:ascii="Verdana" w:eastAsia="华文细黑" w:hAnsi="Verdana" w:cs="Arial" w:hint="eastAsia"/>
        <w:sz w:val="16"/>
        <w:lang w:val="fr-FR"/>
      </w:rPr>
      <w:t>2</w:t>
    </w:r>
    <w:r w:rsidR="00532163">
      <w:rPr>
        <w:rFonts w:ascii="Verdana" w:eastAsia="华文细黑" w:hAnsi="Verdana" w:cs="Arial"/>
        <w:sz w:val="16"/>
        <w:lang w:val="fr-FR"/>
      </w:rPr>
      <w:t>4</w:t>
    </w:r>
    <w:r>
      <w:rPr>
        <w:rFonts w:ascii="Verdana" w:eastAsia="华文细黑" w:hAnsi="Verdana" w:cs="Arial" w:hint="eastAsia"/>
        <w:sz w:val="16"/>
        <w:lang w:val="fr-FR"/>
      </w:rPr>
      <w:t>德勤咨询（海南）有限公司</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7CA250" w14:textId="77777777" w:rsidR="005C5026" w:rsidRDefault="005C5026">
      <w:r>
        <w:separator/>
      </w:r>
    </w:p>
  </w:footnote>
  <w:footnote w:type="continuationSeparator" w:id="0">
    <w:p w14:paraId="04DF7F9C" w14:textId="77777777" w:rsidR="005C5026" w:rsidRDefault="005C5026">
      <w:r>
        <w:continuationSeparator/>
      </w:r>
    </w:p>
  </w:footnote>
  <w:footnote w:id="1">
    <w:p w14:paraId="5BAC0F99" w14:textId="7762E9A7" w:rsidR="00A403EC" w:rsidRPr="00C85078" w:rsidRDefault="00A403EC">
      <w:pPr>
        <w:pStyle w:val="af1"/>
        <w:rPr>
          <w:rFonts w:ascii="Verdana" w:eastAsia="华文细黑" w:hAnsi="Verdana"/>
          <w:sz w:val="20"/>
        </w:rPr>
      </w:pPr>
      <w:r w:rsidRPr="00C85078">
        <w:rPr>
          <w:rStyle w:val="afe"/>
          <w:rFonts w:ascii="Verdana" w:eastAsia="华文细黑" w:hAnsi="Verdana"/>
          <w:sz w:val="20"/>
        </w:rPr>
        <w:footnoteRef/>
      </w:r>
      <w:r w:rsidRPr="00C85078">
        <w:rPr>
          <w:rFonts w:ascii="Verdana" w:eastAsia="华文细黑" w:hAnsi="Verdana"/>
          <w:sz w:val="20"/>
        </w:rPr>
        <w:t xml:space="preserve"> </w:t>
      </w:r>
      <w:r w:rsidRPr="00C85078">
        <w:rPr>
          <w:rFonts w:ascii="Verdana" w:eastAsia="华文细黑" w:hAnsi="Verdana" w:cs="宋体" w:hint="eastAsia"/>
          <w:sz w:val="20"/>
        </w:rPr>
        <w:t>本次三亚市抱坡溪东片区排水管网提质增效工程调减</w:t>
      </w:r>
      <w:r w:rsidRPr="00C85078">
        <w:rPr>
          <w:rFonts w:ascii="Verdana" w:eastAsia="华文细黑" w:hAnsi="Verdana"/>
          <w:sz w:val="20"/>
        </w:rPr>
        <w:t>1,000.00</w:t>
      </w:r>
      <w:r w:rsidRPr="00C85078">
        <w:rPr>
          <w:rFonts w:ascii="Verdana" w:eastAsia="华文细黑" w:hAnsi="Verdana" w:cs="宋体" w:hint="eastAsia"/>
          <w:sz w:val="20"/>
        </w:rPr>
        <w:t>万元</w:t>
      </w:r>
      <w:r w:rsidR="003401DB">
        <w:rPr>
          <w:rFonts w:ascii="Verdana" w:eastAsia="华文细黑" w:hAnsi="Verdana" w:hint="eastAsia"/>
          <w:sz w:val="20"/>
        </w:rPr>
        <w:t>，</w:t>
      </w:r>
      <w:r w:rsidRPr="00C85078">
        <w:rPr>
          <w:rFonts w:ascii="Verdana" w:eastAsia="华文细黑" w:hAnsi="Verdana" w:cs="宋体" w:hint="eastAsia"/>
          <w:sz w:val="20"/>
        </w:rPr>
        <w:t>其中，调入三亚市鹿回头及</w:t>
      </w:r>
      <w:proofErr w:type="gramStart"/>
      <w:r w:rsidRPr="00C85078">
        <w:rPr>
          <w:rFonts w:ascii="Verdana" w:eastAsia="华文细黑" w:hAnsi="Verdana" w:cs="宋体" w:hint="eastAsia"/>
          <w:sz w:val="20"/>
        </w:rPr>
        <w:t>红沙南片区</w:t>
      </w:r>
      <w:proofErr w:type="gramEnd"/>
      <w:r w:rsidRPr="00C85078">
        <w:rPr>
          <w:rFonts w:ascii="Verdana" w:eastAsia="华文细黑" w:hAnsi="Verdana" w:cs="宋体" w:hint="eastAsia"/>
          <w:sz w:val="20"/>
        </w:rPr>
        <w:t>排水管网提质增效工程</w:t>
      </w:r>
      <w:r w:rsidRPr="00C85078">
        <w:rPr>
          <w:rFonts w:ascii="Verdana" w:eastAsia="华文细黑" w:hAnsi="Verdana"/>
          <w:sz w:val="20"/>
        </w:rPr>
        <w:t>500.00</w:t>
      </w:r>
      <w:r w:rsidRPr="00C85078">
        <w:rPr>
          <w:rFonts w:ascii="Verdana" w:eastAsia="华文细黑" w:hAnsi="Verdana" w:cs="宋体" w:hint="eastAsia"/>
          <w:sz w:val="20"/>
        </w:rPr>
        <w:t>万元，调入海南三亚国际</w:t>
      </w:r>
      <w:proofErr w:type="gramStart"/>
      <w:r w:rsidRPr="00C85078">
        <w:rPr>
          <w:rFonts w:ascii="Verdana" w:eastAsia="华文细黑" w:hAnsi="Verdana" w:cs="宋体" w:hint="eastAsia"/>
          <w:sz w:val="20"/>
        </w:rPr>
        <w:t>邮轮港</w:t>
      </w:r>
      <w:proofErr w:type="gramEnd"/>
      <w:r w:rsidRPr="00C85078">
        <w:rPr>
          <w:rFonts w:ascii="Verdana" w:eastAsia="华文细黑" w:hAnsi="Verdana" w:cs="宋体" w:hint="eastAsia"/>
          <w:sz w:val="20"/>
        </w:rPr>
        <w:t>一期项目</w:t>
      </w:r>
      <w:r w:rsidRPr="00C85078">
        <w:rPr>
          <w:rFonts w:ascii="Verdana" w:eastAsia="华文细黑" w:hAnsi="Verdana"/>
          <w:sz w:val="20"/>
        </w:rPr>
        <w:t>500.00</w:t>
      </w:r>
      <w:r w:rsidRPr="00C85078">
        <w:rPr>
          <w:rFonts w:ascii="Verdana" w:eastAsia="华文细黑" w:hAnsi="Verdana" w:cs="宋体" w:hint="eastAsia"/>
          <w:sz w:val="20"/>
        </w:rPr>
        <w:t>万元。</w:t>
      </w:r>
    </w:p>
  </w:footnote>
  <w:footnote w:id="2">
    <w:p w14:paraId="0698DDE7" w14:textId="1DA480E7" w:rsidR="00B824F1" w:rsidRPr="00C85078" w:rsidRDefault="00B824F1">
      <w:pPr>
        <w:pStyle w:val="af1"/>
        <w:rPr>
          <w:rFonts w:eastAsiaTheme="minorEastAsia"/>
        </w:rPr>
      </w:pPr>
      <w:r>
        <w:rPr>
          <w:rStyle w:val="afe"/>
        </w:rPr>
        <w:footnoteRef/>
      </w:r>
      <w:r>
        <w:t xml:space="preserve"> </w:t>
      </w:r>
      <w:r w:rsidRPr="003C3C26">
        <w:rPr>
          <w:rFonts w:ascii="Verdana" w:eastAsia="华文细黑" w:hAnsi="Verdana" w:cs="宋体" w:hint="eastAsia"/>
          <w:sz w:val="20"/>
        </w:rPr>
        <w:t>本项目以前批次发行项目包含：三亚市福海苑、</w:t>
      </w:r>
      <w:proofErr w:type="gramStart"/>
      <w:r w:rsidRPr="003C3C26">
        <w:rPr>
          <w:rFonts w:ascii="Verdana" w:eastAsia="华文细黑" w:hAnsi="Verdana" w:cs="宋体" w:hint="eastAsia"/>
          <w:sz w:val="20"/>
        </w:rPr>
        <w:t>山营及</w:t>
      </w:r>
      <w:proofErr w:type="gramEnd"/>
      <w:r w:rsidRPr="003C3C26">
        <w:rPr>
          <w:rFonts w:ascii="Verdana" w:eastAsia="华文细黑" w:hAnsi="Verdana" w:cs="宋体" w:hint="eastAsia"/>
          <w:sz w:val="20"/>
        </w:rPr>
        <w:t>高新片区排水管网提质增效工程、三亚市新城及回新片区排水管网提质增效工程、三亚市河东片区及临春片区排水管网提质增效工程、三亚市抱坡溪东片区排水管网提质增效工程、三亚市河西片区排水管网提质增效工程、三亚市抱坡溪西片区排水管网提质增效工程、</w:t>
      </w:r>
      <w:proofErr w:type="gramStart"/>
      <w:r w:rsidRPr="003C3C26">
        <w:rPr>
          <w:rFonts w:ascii="Verdana" w:eastAsia="华文细黑" w:hAnsi="Verdana" w:cs="宋体" w:hint="eastAsia"/>
          <w:sz w:val="20"/>
        </w:rPr>
        <w:t>三亚市月川片区</w:t>
      </w:r>
      <w:proofErr w:type="gramEnd"/>
      <w:r w:rsidRPr="003C3C26">
        <w:rPr>
          <w:rFonts w:ascii="Verdana" w:eastAsia="华文细黑" w:hAnsi="Verdana" w:cs="宋体" w:hint="eastAsia"/>
          <w:sz w:val="20"/>
        </w:rPr>
        <w:t>排水管网提质增效工程、全球生物谷（三亚）项目供水工程</w:t>
      </w:r>
      <w:r w:rsidRPr="003C3C26">
        <w:rPr>
          <w:rFonts w:ascii="Verdana" w:eastAsia="华文细黑" w:hAnsi="Verdana" w:cs="宋体"/>
          <w:sz w:val="20"/>
        </w:rPr>
        <w:t xml:space="preserve"> </w:t>
      </w:r>
      <w:r w:rsidRPr="003C3C26">
        <w:rPr>
          <w:rFonts w:ascii="Verdana" w:eastAsia="华文细黑" w:hAnsi="Verdana" w:cs="宋体" w:hint="eastAsia"/>
          <w:sz w:val="20"/>
        </w:rPr>
        <w:t>项目、三亚市</w:t>
      </w:r>
      <w:proofErr w:type="gramStart"/>
      <w:r w:rsidRPr="003C3C26">
        <w:rPr>
          <w:rFonts w:ascii="Verdana" w:eastAsia="华文细黑" w:hAnsi="Verdana" w:cs="宋体" w:hint="eastAsia"/>
          <w:sz w:val="20"/>
        </w:rPr>
        <w:t>农垦居</w:t>
      </w:r>
      <w:proofErr w:type="gramEnd"/>
      <w:r w:rsidRPr="003C3C26">
        <w:rPr>
          <w:rFonts w:ascii="Verdana" w:eastAsia="华文细黑" w:hAnsi="Verdana" w:cs="宋体" w:hint="eastAsia"/>
          <w:sz w:val="20"/>
        </w:rPr>
        <w:t>供水工程</w:t>
      </w:r>
      <w:r>
        <w:rPr>
          <w:rFonts w:ascii="Verdana" w:eastAsia="华文细黑" w:hAnsi="Verdana" w:cs="宋体" w:hint="eastAsia"/>
          <w:sz w:val="20"/>
        </w:rPr>
        <w:t>、</w:t>
      </w:r>
      <w:r w:rsidRPr="002A4B31">
        <w:rPr>
          <w:rFonts w:ascii="Verdana" w:eastAsia="华文细黑" w:hAnsi="Verdana" w:cs="宋体" w:hint="eastAsia"/>
          <w:sz w:val="20"/>
        </w:rPr>
        <w:t>三亚市南岛农场场部周边排污口排水收集工程</w:t>
      </w:r>
      <w:r>
        <w:rPr>
          <w:rFonts w:ascii="Verdana" w:eastAsia="华文细黑" w:hAnsi="Verdana" w:cs="宋体" w:hint="eastAsia"/>
          <w:sz w:val="20"/>
        </w:rPr>
        <w:t>、</w:t>
      </w:r>
      <w:r w:rsidRPr="002A4B31">
        <w:rPr>
          <w:rFonts w:ascii="Verdana" w:eastAsia="华文细黑" w:hAnsi="Verdana" w:cs="宋体" w:hint="eastAsia"/>
          <w:sz w:val="20"/>
        </w:rPr>
        <w:t>三亚市</w:t>
      </w:r>
      <w:r w:rsidRPr="002A4B31">
        <w:rPr>
          <w:rFonts w:ascii="Verdana" w:eastAsia="华文细黑" w:hAnsi="Verdana" w:cs="宋体"/>
          <w:sz w:val="20"/>
        </w:rPr>
        <w:t>2022</w:t>
      </w:r>
      <w:r w:rsidRPr="002A4B31">
        <w:rPr>
          <w:rFonts w:ascii="Verdana" w:eastAsia="华文细黑" w:hAnsi="Verdana" w:cs="宋体" w:hint="eastAsia"/>
          <w:sz w:val="20"/>
        </w:rPr>
        <w:t>年农村饮水巩固提升工程</w:t>
      </w:r>
      <w:r>
        <w:rPr>
          <w:rFonts w:ascii="Verdana" w:eastAsia="华文细黑" w:hAnsi="Verdana" w:cs="宋体" w:hint="eastAsia"/>
          <w:sz w:val="20"/>
        </w:rPr>
        <w:t>、</w:t>
      </w:r>
      <w:r w:rsidRPr="002A4B31">
        <w:rPr>
          <w:rFonts w:ascii="Verdana" w:eastAsia="华文细黑" w:hAnsi="Verdana" w:cs="宋体" w:hint="eastAsia"/>
          <w:sz w:val="20"/>
        </w:rPr>
        <w:t>三亚市棕榈滩污水主干管疏通清理、修复及压力管建设工程</w:t>
      </w:r>
      <w:r>
        <w:rPr>
          <w:rFonts w:ascii="Verdana" w:eastAsia="华文细黑" w:hAnsi="Verdana" w:cs="宋体" w:hint="eastAsia"/>
          <w:sz w:val="20"/>
        </w:rPr>
        <w:t>等</w:t>
      </w:r>
      <w:r w:rsidRPr="003C3C26">
        <w:rPr>
          <w:rFonts w:ascii="Verdana" w:eastAsia="华文细黑" w:hAnsi="Verdana" w:cs="宋体" w:hint="eastAsia"/>
          <w:sz w:val="20"/>
        </w:rPr>
        <w:t>。</w:t>
      </w:r>
    </w:p>
  </w:footnote>
  <w:footnote w:id="3">
    <w:p w14:paraId="389BC242" w14:textId="38B992FB" w:rsidR="007D2521" w:rsidRPr="004B465C" w:rsidRDefault="007D2521">
      <w:pPr>
        <w:pStyle w:val="af1"/>
        <w:rPr>
          <w:rFonts w:eastAsiaTheme="minorEastAsia"/>
        </w:rPr>
      </w:pPr>
      <w:r>
        <w:rPr>
          <w:rStyle w:val="afe"/>
        </w:rPr>
        <w:footnoteRef/>
      </w:r>
      <w:r>
        <w:t xml:space="preserve"> </w:t>
      </w:r>
      <w:r w:rsidRPr="003C3C26">
        <w:rPr>
          <w:rFonts w:ascii="Verdana" w:eastAsia="华文细黑" w:hAnsi="Verdana"/>
          <w:sz w:val="20"/>
        </w:rPr>
        <w:t>2023</w:t>
      </w:r>
      <w:r w:rsidRPr="003C3C26">
        <w:rPr>
          <w:rFonts w:ascii="Verdana" w:eastAsia="华文细黑" w:hAnsi="Verdana" w:cs="宋体" w:hint="eastAsia"/>
          <w:sz w:val="20"/>
        </w:rPr>
        <w:t>年</w:t>
      </w:r>
      <w:r w:rsidRPr="003C3C26">
        <w:rPr>
          <w:rFonts w:ascii="Verdana" w:eastAsia="华文细黑" w:hAnsi="Verdana"/>
          <w:sz w:val="20"/>
        </w:rPr>
        <w:t>8</w:t>
      </w:r>
      <w:r w:rsidRPr="003C3C26">
        <w:rPr>
          <w:rFonts w:ascii="Verdana" w:eastAsia="华文细黑" w:hAnsi="Verdana" w:cs="宋体" w:hint="eastAsia"/>
          <w:sz w:val="20"/>
        </w:rPr>
        <w:t>月已发行境外可持续债券</w:t>
      </w:r>
      <w:r w:rsidRPr="00F90695">
        <w:rPr>
          <w:rFonts w:ascii="Verdana" w:eastAsia="华文细黑" w:hAnsi="Verdana" w:cs="宋体"/>
          <w:sz w:val="20"/>
        </w:rPr>
        <w:t>1,300.00</w:t>
      </w:r>
      <w:r w:rsidRPr="003C3C26">
        <w:rPr>
          <w:rFonts w:ascii="Verdana" w:eastAsia="华文细黑" w:hAnsi="Verdana" w:cs="宋体" w:hint="eastAsia"/>
          <w:sz w:val="20"/>
        </w:rPr>
        <w:t>万元（</w:t>
      </w:r>
      <w:r w:rsidRPr="003C3C26">
        <w:rPr>
          <w:rFonts w:ascii="Verdana" w:eastAsia="华文细黑" w:hAnsi="Verdana"/>
          <w:sz w:val="20"/>
        </w:rPr>
        <w:t>2023</w:t>
      </w:r>
      <w:r w:rsidRPr="003C3C26">
        <w:rPr>
          <w:rFonts w:ascii="Verdana" w:eastAsia="华文细黑" w:hAnsi="Verdana" w:cs="宋体" w:hint="eastAsia"/>
          <w:sz w:val="20"/>
        </w:rPr>
        <w:t>年</w:t>
      </w:r>
      <w:r w:rsidRPr="003C3C26">
        <w:rPr>
          <w:rFonts w:ascii="Verdana" w:eastAsia="华文细黑" w:hAnsi="Verdana"/>
          <w:sz w:val="20"/>
        </w:rPr>
        <w:t>11</w:t>
      </w:r>
      <w:r w:rsidRPr="003C3C26">
        <w:rPr>
          <w:rFonts w:ascii="Verdana" w:eastAsia="华文细黑" w:hAnsi="Verdana" w:cs="宋体" w:hint="eastAsia"/>
          <w:sz w:val="20"/>
        </w:rPr>
        <w:t>月全球生物谷（三亚）项目供水工程调减债券</w:t>
      </w:r>
      <w:r w:rsidRPr="003C3C26">
        <w:rPr>
          <w:rFonts w:ascii="Verdana" w:eastAsia="华文细黑" w:hAnsi="Verdana"/>
          <w:sz w:val="20"/>
        </w:rPr>
        <w:t>1,300.00</w:t>
      </w:r>
      <w:r w:rsidRPr="003C3C26">
        <w:rPr>
          <w:rFonts w:ascii="Verdana" w:eastAsia="华文细黑" w:hAnsi="Verdana" w:cs="宋体" w:hint="eastAsia"/>
          <w:sz w:val="20"/>
        </w:rPr>
        <w:t>万元），债券利率为</w:t>
      </w:r>
      <w:r w:rsidRPr="003C3C26">
        <w:rPr>
          <w:rFonts w:ascii="Verdana" w:eastAsia="华文细黑" w:hAnsi="Verdana"/>
          <w:sz w:val="20"/>
        </w:rPr>
        <w:t>2.45%</w:t>
      </w:r>
      <w:r w:rsidRPr="003C3C26">
        <w:rPr>
          <w:rFonts w:ascii="Verdana" w:eastAsia="华文细黑" w:hAnsi="Verdana" w:cs="宋体" w:hint="eastAsia"/>
          <w:sz w:val="20"/>
        </w:rPr>
        <w:t>，债券期限为两年期</w:t>
      </w:r>
      <w:r>
        <w:rPr>
          <w:rFonts w:ascii="Verdana" w:eastAsia="华文细黑" w:hAnsi="Verdana" w:cs="宋体" w:hint="eastAsia"/>
          <w:sz w:val="20"/>
        </w:rPr>
        <w:t>，实际发行金额为</w:t>
      </w:r>
      <w:r>
        <w:rPr>
          <w:rFonts w:ascii="Verdana" w:eastAsia="华文细黑" w:hAnsi="Verdana" w:cs="宋体" w:hint="eastAsia"/>
          <w:sz w:val="20"/>
        </w:rPr>
        <w:t>0</w:t>
      </w:r>
      <w:r>
        <w:rPr>
          <w:rFonts w:ascii="Verdana" w:eastAsia="华文细黑" w:hAnsi="Verdana" w:cs="宋体"/>
          <w:sz w:val="20"/>
        </w:rPr>
        <w:t>.00</w:t>
      </w:r>
      <w:r>
        <w:rPr>
          <w:rFonts w:ascii="Verdana" w:eastAsia="华文细黑" w:hAnsi="Verdana" w:cs="宋体" w:hint="eastAsia"/>
          <w:sz w:val="20"/>
        </w:rPr>
        <w:t>万元。</w:t>
      </w:r>
    </w:p>
  </w:footnote>
  <w:footnote w:id="4">
    <w:p w14:paraId="264E29B1" w14:textId="1D75BED8" w:rsidR="000D1B9A" w:rsidRDefault="00000000">
      <w:pPr>
        <w:pStyle w:val="af1"/>
        <w:rPr>
          <w:rFonts w:asciiTheme="minorHAnsi" w:eastAsia="华文细黑" w:hAnsiTheme="minorHAnsi"/>
          <w:sz w:val="21"/>
        </w:rPr>
      </w:pPr>
      <w:r>
        <w:rPr>
          <w:rStyle w:val="afe"/>
          <w:rFonts w:asciiTheme="minorHAnsi" w:hAnsiTheme="minorHAnsi"/>
        </w:rPr>
        <w:footnoteRef/>
      </w:r>
      <w:r>
        <w:rPr>
          <w:rFonts w:asciiTheme="minorHAnsi" w:eastAsia="华文细黑" w:hAnsiTheme="minorHAnsi" w:hint="eastAsia"/>
          <w:sz w:val="20"/>
        </w:rPr>
        <w:t>本息覆盖率</w:t>
      </w:r>
      <w:r>
        <w:rPr>
          <w:rFonts w:asciiTheme="minorHAnsi" w:eastAsia="华文细黑" w:hAnsiTheme="minorHAnsi" w:hint="eastAsia"/>
          <w:sz w:val="20"/>
        </w:rPr>
        <w:t>=</w:t>
      </w:r>
      <w:r>
        <w:rPr>
          <w:rFonts w:asciiTheme="minorHAnsi" w:eastAsia="华文细黑" w:hAnsiTheme="minorHAnsi" w:hint="eastAsia"/>
          <w:sz w:val="20"/>
        </w:rPr>
        <w:t>期末现金净流量</w:t>
      </w:r>
      <w:r>
        <w:rPr>
          <w:rFonts w:asciiTheme="minorHAnsi" w:eastAsia="华文细黑" w:hAnsiTheme="minorHAnsi" w:hint="eastAsia"/>
          <w:sz w:val="20"/>
        </w:rPr>
        <w:t>/</w:t>
      </w:r>
      <w:r>
        <w:rPr>
          <w:rFonts w:asciiTheme="minorHAnsi" w:eastAsia="华文细黑" w:hAnsiTheme="minorHAnsi" w:hint="eastAsia"/>
          <w:sz w:val="20"/>
        </w:rPr>
        <w:t>债券本息和</w:t>
      </w:r>
      <w:r>
        <w:rPr>
          <w:rFonts w:asciiTheme="minorHAnsi" w:eastAsia="华文细黑" w:hAnsiTheme="minorHAnsi" w:hint="eastAsia"/>
          <w:sz w:val="20"/>
        </w:rPr>
        <w:t>+1</w:t>
      </w:r>
      <w:r>
        <w:rPr>
          <w:rFonts w:asciiTheme="minorHAnsi" w:eastAsia="华文细黑" w:hAnsiTheme="minorHAnsi" w:hint="eastAsia"/>
          <w:sz w:val="20"/>
        </w:rPr>
        <w:t>；项目累计期末现金净流量为</w:t>
      </w:r>
      <w:r w:rsidR="00CD0795" w:rsidRPr="00CD0795">
        <w:rPr>
          <w:rFonts w:asciiTheme="minorHAnsi" w:eastAsia="华文细黑" w:hAnsiTheme="minorHAnsi"/>
          <w:sz w:val="20"/>
        </w:rPr>
        <w:t>46,191.55</w:t>
      </w:r>
      <w:r>
        <w:rPr>
          <w:rFonts w:asciiTheme="minorHAnsi" w:eastAsia="华文细黑" w:hAnsiTheme="minorHAnsi" w:hint="eastAsia"/>
          <w:sz w:val="20"/>
        </w:rPr>
        <w:t>万元，考虑全部债券发行额度的还本付息总额为</w:t>
      </w:r>
      <w:r w:rsidR="00CD0795" w:rsidRPr="00CD0795">
        <w:rPr>
          <w:rFonts w:asciiTheme="minorHAnsi" w:eastAsia="华文细黑" w:hAnsiTheme="minorHAnsi"/>
          <w:sz w:val="20"/>
        </w:rPr>
        <w:t>91,559.52</w:t>
      </w:r>
      <w:r>
        <w:rPr>
          <w:rFonts w:asciiTheme="minorHAnsi" w:eastAsia="华文细黑" w:hAnsiTheme="minorHAnsi" w:hint="eastAsia"/>
          <w:sz w:val="20"/>
        </w:rPr>
        <w:t>万元，项目整体综合本息覆盖率为</w:t>
      </w:r>
      <w:r>
        <w:rPr>
          <w:rFonts w:asciiTheme="minorHAnsi" w:eastAsia="华文细黑" w:hAnsiTheme="minorHAnsi"/>
          <w:sz w:val="20"/>
        </w:rPr>
        <w:t>1.</w:t>
      </w:r>
      <w:r w:rsidR="00CD0795">
        <w:rPr>
          <w:rFonts w:asciiTheme="minorHAnsi" w:eastAsia="华文细黑" w:hAnsiTheme="minorHAnsi" w:hint="eastAsia"/>
          <w:sz w:val="20"/>
        </w:rPr>
        <w:t>50</w:t>
      </w:r>
      <w:r>
        <w:rPr>
          <w:rFonts w:asciiTheme="minorHAnsi" w:eastAsia="华文细黑" w:hAnsiTheme="minorHAnsi" w:hint="eastAsia"/>
          <w:sz w:val="20"/>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21A2D3" w14:textId="77777777" w:rsidR="000D1B9A" w:rsidRDefault="000D1B9A">
    <w:pPr>
      <w:pStyle w:val="af"/>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70931E" w14:textId="77777777" w:rsidR="000D1B9A" w:rsidRDefault="000D1B9A">
    <w:pPr>
      <w:pStyle w:val="af"/>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5D3299" w14:textId="77777777" w:rsidR="000D1B9A" w:rsidRDefault="000D1B9A">
    <w:pPr>
      <w:pStyle w:val="af"/>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78403B"/>
    <w:multiLevelType w:val="hybridMultilevel"/>
    <w:tmpl w:val="415E1CE6"/>
    <w:lvl w:ilvl="0" w:tplc="05C8470E">
      <w:start w:val="1"/>
      <w:numFmt w:val="japaneseCounting"/>
      <w:lvlText w:val="（%1）"/>
      <w:lvlJc w:val="left"/>
      <w:pPr>
        <w:ind w:left="1174" w:hanging="720"/>
      </w:pPr>
      <w:rPr>
        <w:rFonts w:hint="default"/>
      </w:rPr>
    </w:lvl>
    <w:lvl w:ilvl="1" w:tplc="04090019" w:tentative="1">
      <w:start w:val="1"/>
      <w:numFmt w:val="lowerLetter"/>
      <w:lvlText w:val="%2)"/>
      <w:lvlJc w:val="left"/>
      <w:pPr>
        <w:ind w:left="1334" w:hanging="440"/>
      </w:pPr>
    </w:lvl>
    <w:lvl w:ilvl="2" w:tplc="0409001B" w:tentative="1">
      <w:start w:val="1"/>
      <w:numFmt w:val="lowerRoman"/>
      <w:lvlText w:val="%3."/>
      <w:lvlJc w:val="right"/>
      <w:pPr>
        <w:ind w:left="1774" w:hanging="440"/>
      </w:pPr>
    </w:lvl>
    <w:lvl w:ilvl="3" w:tplc="0409000F" w:tentative="1">
      <w:start w:val="1"/>
      <w:numFmt w:val="decimal"/>
      <w:lvlText w:val="%4."/>
      <w:lvlJc w:val="left"/>
      <w:pPr>
        <w:ind w:left="2214" w:hanging="440"/>
      </w:pPr>
    </w:lvl>
    <w:lvl w:ilvl="4" w:tplc="04090019" w:tentative="1">
      <w:start w:val="1"/>
      <w:numFmt w:val="lowerLetter"/>
      <w:lvlText w:val="%5)"/>
      <w:lvlJc w:val="left"/>
      <w:pPr>
        <w:ind w:left="2654" w:hanging="440"/>
      </w:pPr>
    </w:lvl>
    <w:lvl w:ilvl="5" w:tplc="0409001B" w:tentative="1">
      <w:start w:val="1"/>
      <w:numFmt w:val="lowerRoman"/>
      <w:lvlText w:val="%6."/>
      <w:lvlJc w:val="right"/>
      <w:pPr>
        <w:ind w:left="3094" w:hanging="440"/>
      </w:pPr>
    </w:lvl>
    <w:lvl w:ilvl="6" w:tplc="0409000F" w:tentative="1">
      <w:start w:val="1"/>
      <w:numFmt w:val="decimal"/>
      <w:lvlText w:val="%7."/>
      <w:lvlJc w:val="left"/>
      <w:pPr>
        <w:ind w:left="3534" w:hanging="440"/>
      </w:pPr>
    </w:lvl>
    <w:lvl w:ilvl="7" w:tplc="04090019" w:tentative="1">
      <w:start w:val="1"/>
      <w:numFmt w:val="lowerLetter"/>
      <w:lvlText w:val="%8)"/>
      <w:lvlJc w:val="left"/>
      <w:pPr>
        <w:ind w:left="3974" w:hanging="440"/>
      </w:pPr>
    </w:lvl>
    <w:lvl w:ilvl="8" w:tplc="0409001B" w:tentative="1">
      <w:start w:val="1"/>
      <w:numFmt w:val="lowerRoman"/>
      <w:lvlText w:val="%9."/>
      <w:lvlJc w:val="right"/>
      <w:pPr>
        <w:ind w:left="4414" w:hanging="440"/>
      </w:pPr>
    </w:lvl>
  </w:abstractNum>
  <w:abstractNum w:abstractNumId="1" w15:restartNumberingAfterBreak="0">
    <w:nsid w:val="43705AE3"/>
    <w:multiLevelType w:val="multilevel"/>
    <w:tmpl w:val="43705AE3"/>
    <w:lvl w:ilvl="0">
      <w:start w:val="1"/>
      <w:numFmt w:val="lowerLetter"/>
      <w:lvlText w:val="%1."/>
      <w:lvlJc w:val="left"/>
      <w:pPr>
        <w:ind w:left="1572" w:hanging="360"/>
      </w:pPr>
    </w:lvl>
    <w:lvl w:ilvl="1">
      <w:start w:val="1"/>
      <w:numFmt w:val="lowerLetter"/>
      <w:lvlText w:val="%2."/>
      <w:lvlJc w:val="left"/>
      <w:pPr>
        <w:ind w:left="2292" w:hanging="360"/>
      </w:pPr>
    </w:lvl>
    <w:lvl w:ilvl="2">
      <w:start w:val="1"/>
      <w:numFmt w:val="lowerRoman"/>
      <w:lvlText w:val="%3."/>
      <w:lvlJc w:val="right"/>
      <w:pPr>
        <w:ind w:left="3012" w:hanging="180"/>
      </w:pPr>
    </w:lvl>
    <w:lvl w:ilvl="3">
      <w:start w:val="1"/>
      <w:numFmt w:val="decimal"/>
      <w:lvlText w:val="%4."/>
      <w:lvlJc w:val="left"/>
      <w:pPr>
        <w:ind w:left="3732" w:hanging="360"/>
      </w:pPr>
    </w:lvl>
    <w:lvl w:ilvl="4">
      <w:start w:val="1"/>
      <w:numFmt w:val="lowerLetter"/>
      <w:lvlText w:val="%5."/>
      <w:lvlJc w:val="left"/>
      <w:pPr>
        <w:ind w:left="4452" w:hanging="360"/>
      </w:pPr>
    </w:lvl>
    <w:lvl w:ilvl="5">
      <w:start w:val="1"/>
      <w:numFmt w:val="lowerRoman"/>
      <w:lvlText w:val="%6."/>
      <w:lvlJc w:val="right"/>
      <w:pPr>
        <w:ind w:left="5172" w:hanging="180"/>
      </w:pPr>
    </w:lvl>
    <w:lvl w:ilvl="6">
      <w:start w:val="1"/>
      <w:numFmt w:val="decimal"/>
      <w:lvlText w:val="%7."/>
      <w:lvlJc w:val="left"/>
      <w:pPr>
        <w:ind w:left="5892" w:hanging="360"/>
      </w:pPr>
    </w:lvl>
    <w:lvl w:ilvl="7">
      <w:start w:val="1"/>
      <w:numFmt w:val="lowerLetter"/>
      <w:lvlText w:val="%8."/>
      <w:lvlJc w:val="left"/>
      <w:pPr>
        <w:ind w:left="6612" w:hanging="360"/>
      </w:pPr>
    </w:lvl>
    <w:lvl w:ilvl="8">
      <w:start w:val="1"/>
      <w:numFmt w:val="lowerRoman"/>
      <w:lvlText w:val="%9."/>
      <w:lvlJc w:val="right"/>
      <w:pPr>
        <w:ind w:left="7332" w:hanging="180"/>
      </w:pPr>
    </w:lvl>
  </w:abstractNum>
  <w:abstractNum w:abstractNumId="2" w15:restartNumberingAfterBreak="0">
    <w:nsid w:val="757E3B8D"/>
    <w:multiLevelType w:val="hybridMultilevel"/>
    <w:tmpl w:val="7BC0F57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938489754">
    <w:abstractNumId w:val="1"/>
  </w:num>
  <w:num w:numId="2" w16cid:durableId="187262441">
    <w:abstractNumId w:val="2"/>
  </w:num>
  <w:num w:numId="3" w16cid:durableId="6283608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bordersDoNotSurroundHeader/>
  <w:bordersDoNotSurroundFooter/>
  <w:hideSpellingErrors/>
  <w:proofState w:spelling="clean" w:grammar="clean"/>
  <w:trackRevisions/>
  <w:defaultTabStop w:val="720"/>
  <w:drawingGridHorizontalSpacing w:val="100"/>
  <w:drawingGridVerticalSpacing w:val="156"/>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GY0YmUwOWYzMzBiYmM3YzdjZWEzMzU0Njk2MjdkNzYifQ=="/>
  </w:docVars>
  <w:rsids>
    <w:rsidRoot w:val="00E351C7"/>
    <w:rsid w:val="000002C5"/>
    <w:rsid w:val="000022B8"/>
    <w:rsid w:val="0000243C"/>
    <w:rsid w:val="00002FDE"/>
    <w:rsid w:val="000030F1"/>
    <w:rsid w:val="00004026"/>
    <w:rsid w:val="00005332"/>
    <w:rsid w:val="000055AE"/>
    <w:rsid w:val="00007253"/>
    <w:rsid w:val="000078F9"/>
    <w:rsid w:val="00007B3A"/>
    <w:rsid w:val="00007BCE"/>
    <w:rsid w:val="00007DBC"/>
    <w:rsid w:val="00010B41"/>
    <w:rsid w:val="000114DD"/>
    <w:rsid w:val="00012614"/>
    <w:rsid w:val="00012796"/>
    <w:rsid w:val="0001296A"/>
    <w:rsid w:val="00012DB4"/>
    <w:rsid w:val="0001309F"/>
    <w:rsid w:val="00013F0E"/>
    <w:rsid w:val="00013FDC"/>
    <w:rsid w:val="00014288"/>
    <w:rsid w:val="00014364"/>
    <w:rsid w:val="00014379"/>
    <w:rsid w:val="000144EE"/>
    <w:rsid w:val="00014F4B"/>
    <w:rsid w:val="00015825"/>
    <w:rsid w:val="000158C1"/>
    <w:rsid w:val="00015AE6"/>
    <w:rsid w:val="00015E11"/>
    <w:rsid w:val="0001613A"/>
    <w:rsid w:val="00016A78"/>
    <w:rsid w:val="00016C6C"/>
    <w:rsid w:val="0001750B"/>
    <w:rsid w:val="00017721"/>
    <w:rsid w:val="00021704"/>
    <w:rsid w:val="00022405"/>
    <w:rsid w:val="000226BD"/>
    <w:rsid w:val="0002373B"/>
    <w:rsid w:val="00023A58"/>
    <w:rsid w:val="00024345"/>
    <w:rsid w:val="000243E0"/>
    <w:rsid w:val="00024AC4"/>
    <w:rsid w:val="00025EA3"/>
    <w:rsid w:val="000272C0"/>
    <w:rsid w:val="00027316"/>
    <w:rsid w:val="00027864"/>
    <w:rsid w:val="00030389"/>
    <w:rsid w:val="00030FCF"/>
    <w:rsid w:val="00031577"/>
    <w:rsid w:val="000318EC"/>
    <w:rsid w:val="00031CB0"/>
    <w:rsid w:val="000321B8"/>
    <w:rsid w:val="000328C5"/>
    <w:rsid w:val="000334FB"/>
    <w:rsid w:val="0003404A"/>
    <w:rsid w:val="00034F0C"/>
    <w:rsid w:val="0003611D"/>
    <w:rsid w:val="00036644"/>
    <w:rsid w:val="00036B4C"/>
    <w:rsid w:val="000371B1"/>
    <w:rsid w:val="00040168"/>
    <w:rsid w:val="0004063A"/>
    <w:rsid w:val="0004063F"/>
    <w:rsid w:val="00041EC0"/>
    <w:rsid w:val="00041FAA"/>
    <w:rsid w:val="0004296E"/>
    <w:rsid w:val="00043349"/>
    <w:rsid w:val="00044481"/>
    <w:rsid w:val="00044ABA"/>
    <w:rsid w:val="00044CA3"/>
    <w:rsid w:val="0004560F"/>
    <w:rsid w:val="000459E0"/>
    <w:rsid w:val="0004634B"/>
    <w:rsid w:val="00046BC6"/>
    <w:rsid w:val="000472B6"/>
    <w:rsid w:val="00047EE0"/>
    <w:rsid w:val="00047F93"/>
    <w:rsid w:val="000509D2"/>
    <w:rsid w:val="00050E0D"/>
    <w:rsid w:val="00051491"/>
    <w:rsid w:val="000524F4"/>
    <w:rsid w:val="000529A8"/>
    <w:rsid w:val="0005314C"/>
    <w:rsid w:val="000535C1"/>
    <w:rsid w:val="000536A5"/>
    <w:rsid w:val="000538ED"/>
    <w:rsid w:val="00053B84"/>
    <w:rsid w:val="00054A8B"/>
    <w:rsid w:val="000553FE"/>
    <w:rsid w:val="00055768"/>
    <w:rsid w:val="00055D67"/>
    <w:rsid w:val="00056466"/>
    <w:rsid w:val="00056D4D"/>
    <w:rsid w:val="0005745F"/>
    <w:rsid w:val="00057F10"/>
    <w:rsid w:val="00060D8F"/>
    <w:rsid w:val="00060E39"/>
    <w:rsid w:val="0006122D"/>
    <w:rsid w:val="00061D6C"/>
    <w:rsid w:val="00062E07"/>
    <w:rsid w:val="00064317"/>
    <w:rsid w:val="000646DE"/>
    <w:rsid w:val="00065C8D"/>
    <w:rsid w:val="00065D2B"/>
    <w:rsid w:val="00065E13"/>
    <w:rsid w:val="000668D2"/>
    <w:rsid w:val="0006693D"/>
    <w:rsid w:val="000671C6"/>
    <w:rsid w:val="00067586"/>
    <w:rsid w:val="00067CE5"/>
    <w:rsid w:val="00070260"/>
    <w:rsid w:val="00071458"/>
    <w:rsid w:val="00072B24"/>
    <w:rsid w:val="00073713"/>
    <w:rsid w:val="00073996"/>
    <w:rsid w:val="00074373"/>
    <w:rsid w:val="00076E33"/>
    <w:rsid w:val="000773B8"/>
    <w:rsid w:val="0008004C"/>
    <w:rsid w:val="000805E9"/>
    <w:rsid w:val="000807AB"/>
    <w:rsid w:val="00080EE2"/>
    <w:rsid w:val="000819F2"/>
    <w:rsid w:val="00082040"/>
    <w:rsid w:val="00082D74"/>
    <w:rsid w:val="00083D97"/>
    <w:rsid w:val="00084667"/>
    <w:rsid w:val="00086690"/>
    <w:rsid w:val="00086BBC"/>
    <w:rsid w:val="00087084"/>
    <w:rsid w:val="0008747F"/>
    <w:rsid w:val="00087585"/>
    <w:rsid w:val="0008785C"/>
    <w:rsid w:val="000879F7"/>
    <w:rsid w:val="00087E8F"/>
    <w:rsid w:val="00090B77"/>
    <w:rsid w:val="00091021"/>
    <w:rsid w:val="000917FE"/>
    <w:rsid w:val="00092271"/>
    <w:rsid w:val="00092A92"/>
    <w:rsid w:val="00093B5E"/>
    <w:rsid w:val="0009408E"/>
    <w:rsid w:val="0009427E"/>
    <w:rsid w:val="000947CA"/>
    <w:rsid w:val="0009481C"/>
    <w:rsid w:val="00094E6B"/>
    <w:rsid w:val="00095249"/>
    <w:rsid w:val="000957E8"/>
    <w:rsid w:val="00096694"/>
    <w:rsid w:val="00096AFF"/>
    <w:rsid w:val="0009771E"/>
    <w:rsid w:val="0009791C"/>
    <w:rsid w:val="00097C43"/>
    <w:rsid w:val="00097C9C"/>
    <w:rsid w:val="000A0AC5"/>
    <w:rsid w:val="000A1364"/>
    <w:rsid w:val="000A1E61"/>
    <w:rsid w:val="000A21B1"/>
    <w:rsid w:val="000A229A"/>
    <w:rsid w:val="000A2421"/>
    <w:rsid w:val="000A31DE"/>
    <w:rsid w:val="000A344E"/>
    <w:rsid w:val="000A46B7"/>
    <w:rsid w:val="000A5551"/>
    <w:rsid w:val="000A5A1B"/>
    <w:rsid w:val="000A5C9E"/>
    <w:rsid w:val="000A638A"/>
    <w:rsid w:val="000A738B"/>
    <w:rsid w:val="000B180F"/>
    <w:rsid w:val="000B2EEC"/>
    <w:rsid w:val="000B5068"/>
    <w:rsid w:val="000B507E"/>
    <w:rsid w:val="000B5406"/>
    <w:rsid w:val="000B5DE9"/>
    <w:rsid w:val="000B6335"/>
    <w:rsid w:val="000B64FB"/>
    <w:rsid w:val="000B67C0"/>
    <w:rsid w:val="000B71BF"/>
    <w:rsid w:val="000B720D"/>
    <w:rsid w:val="000B7AFD"/>
    <w:rsid w:val="000B7F63"/>
    <w:rsid w:val="000C0C37"/>
    <w:rsid w:val="000C12AB"/>
    <w:rsid w:val="000C1FC9"/>
    <w:rsid w:val="000C20B4"/>
    <w:rsid w:val="000C363F"/>
    <w:rsid w:val="000C3CA9"/>
    <w:rsid w:val="000C4319"/>
    <w:rsid w:val="000C4663"/>
    <w:rsid w:val="000C47B4"/>
    <w:rsid w:val="000C5364"/>
    <w:rsid w:val="000C5C27"/>
    <w:rsid w:val="000C65EF"/>
    <w:rsid w:val="000C6E31"/>
    <w:rsid w:val="000C6EA9"/>
    <w:rsid w:val="000C7CA4"/>
    <w:rsid w:val="000C7D80"/>
    <w:rsid w:val="000C7D9A"/>
    <w:rsid w:val="000D00C6"/>
    <w:rsid w:val="000D021C"/>
    <w:rsid w:val="000D06CB"/>
    <w:rsid w:val="000D0886"/>
    <w:rsid w:val="000D1B9A"/>
    <w:rsid w:val="000D1F08"/>
    <w:rsid w:val="000D33C5"/>
    <w:rsid w:val="000D4A43"/>
    <w:rsid w:val="000D531D"/>
    <w:rsid w:val="000D5798"/>
    <w:rsid w:val="000D58A9"/>
    <w:rsid w:val="000D5AC1"/>
    <w:rsid w:val="000D5E28"/>
    <w:rsid w:val="000D6D1E"/>
    <w:rsid w:val="000E00BE"/>
    <w:rsid w:val="000E2ACB"/>
    <w:rsid w:val="000E2E7E"/>
    <w:rsid w:val="000E3730"/>
    <w:rsid w:val="000E3911"/>
    <w:rsid w:val="000E4CF4"/>
    <w:rsid w:val="000E4FF0"/>
    <w:rsid w:val="000E5047"/>
    <w:rsid w:val="000E573C"/>
    <w:rsid w:val="000E5E65"/>
    <w:rsid w:val="000E6110"/>
    <w:rsid w:val="000E6D85"/>
    <w:rsid w:val="000E727A"/>
    <w:rsid w:val="000E72DA"/>
    <w:rsid w:val="000E7465"/>
    <w:rsid w:val="000E7AC7"/>
    <w:rsid w:val="000F0DFC"/>
    <w:rsid w:val="000F1783"/>
    <w:rsid w:val="000F22B3"/>
    <w:rsid w:val="000F267D"/>
    <w:rsid w:val="000F27DC"/>
    <w:rsid w:val="000F3BDD"/>
    <w:rsid w:val="000F4418"/>
    <w:rsid w:val="000F473D"/>
    <w:rsid w:val="000F47DC"/>
    <w:rsid w:val="000F4852"/>
    <w:rsid w:val="000F4C5C"/>
    <w:rsid w:val="000F4C64"/>
    <w:rsid w:val="000F507A"/>
    <w:rsid w:val="000F5F36"/>
    <w:rsid w:val="000F62FB"/>
    <w:rsid w:val="00100218"/>
    <w:rsid w:val="0010055B"/>
    <w:rsid w:val="00100C2F"/>
    <w:rsid w:val="0010142A"/>
    <w:rsid w:val="001024BD"/>
    <w:rsid w:val="00102D86"/>
    <w:rsid w:val="00103EA8"/>
    <w:rsid w:val="00105B30"/>
    <w:rsid w:val="00105E45"/>
    <w:rsid w:val="00106D56"/>
    <w:rsid w:val="001076D2"/>
    <w:rsid w:val="001076F1"/>
    <w:rsid w:val="00110CA7"/>
    <w:rsid w:val="0011349A"/>
    <w:rsid w:val="00115130"/>
    <w:rsid w:val="0011649E"/>
    <w:rsid w:val="00116853"/>
    <w:rsid w:val="00120800"/>
    <w:rsid w:val="001209CB"/>
    <w:rsid w:val="00120C6A"/>
    <w:rsid w:val="00120EC9"/>
    <w:rsid w:val="00121086"/>
    <w:rsid w:val="00121A39"/>
    <w:rsid w:val="00121B2E"/>
    <w:rsid w:val="00121C16"/>
    <w:rsid w:val="0012217B"/>
    <w:rsid w:val="00122459"/>
    <w:rsid w:val="00122602"/>
    <w:rsid w:val="00122BFF"/>
    <w:rsid w:val="001237D9"/>
    <w:rsid w:val="00123AD1"/>
    <w:rsid w:val="001243C3"/>
    <w:rsid w:val="00124D6D"/>
    <w:rsid w:val="00124F9A"/>
    <w:rsid w:val="00124FCA"/>
    <w:rsid w:val="00124FEA"/>
    <w:rsid w:val="001255F7"/>
    <w:rsid w:val="00125CDE"/>
    <w:rsid w:val="0012611A"/>
    <w:rsid w:val="001264D6"/>
    <w:rsid w:val="001266D9"/>
    <w:rsid w:val="00126D00"/>
    <w:rsid w:val="00130807"/>
    <w:rsid w:val="00130FD2"/>
    <w:rsid w:val="001315B9"/>
    <w:rsid w:val="00131FFC"/>
    <w:rsid w:val="00132569"/>
    <w:rsid w:val="00132F16"/>
    <w:rsid w:val="001330CD"/>
    <w:rsid w:val="0013389C"/>
    <w:rsid w:val="00134DFC"/>
    <w:rsid w:val="001350C3"/>
    <w:rsid w:val="00135548"/>
    <w:rsid w:val="00135B43"/>
    <w:rsid w:val="001366AF"/>
    <w:rsid w:val="00136D15"/>
    <w:rsid w:val="00136F47"/>
    <w:rsid w:val="0013747A"/>
    <w:rsid w:val="0014049C"/>
    <w:rsid w:val="00141436"/>
    <w:rsid w:val="0014152F"/>
    <w:rsid w:val="00141BC6"/>
    <w:rsid w:val="0014295C"/>
    <w:rsid w:val="00142E68"/>
    <w:rsid w:val="0014334C"/>
    <w:rsid w:val="00143699"/>
    <w:rsid w:val="00143965"/>
    <w:rsid w:val="00145F97"/>
    <w:rsid w:val="0014613A"/>
    <w:rsid w:val="00146687"/>
    <w:rsid w:val="00146FA8"/>
    <w:rsid w:val="00150534"/>
    <w:rsid w:val="00151029"/>
    <w:rsid w:val="00151293"/>
    <w:rsid w:val="00151419"/>
    <w:rsid w:val="00151514"/>
    <w:rsid w:val="001516F2"/>
    <w:rsid w:val="001521E2"/>
    <w:rsid w:val="0015228F"/>
    <w:rsid w:val="00152CC8"/>
    <w:rsid w:val="001533A6"/>
    <w:rsid w:val="00153402"/>
    <w:rsid w:val="00154333"/>
    <w:rsid w:val="0015465C"/>
    <w:rsid w:val="00154A6E"/>
    <w:rsid w:val="00155964"/>
    <w:rsid w:val="00155E56"/>
    <w:rsid w:val="00156937"/>
    <w:rsid w:val="00157574"/>
    <w:rsid w:val="001600A1"/>
    <w:rsid w:val="00160334"/>
    <w:rsid w:val="00160E1A"/>
    <w:rsid w:val="001617FF"/>
    <w:rsid w:val="00161C5C"/>
    <w:rsid w:val="00162F50"/>
    <w:rsid w:val="001633B0"/>
    <w:rsid w:val="00163B3B"/>
    <w:rsid w:val="00163ECB"/>
    <w:rsid w:val="00163F66"/>
    <w:rsid w:val="00165061"/>
    <w:rsid w:val="00165224"/>
    <w:rsid w:val="00165501"/>
    <w:rsid w:val="00165C66"/>
    <w:rsid w:val="00166938"/>
    <w:rsid w:val="00166ACA"/>
    <w:rsid w:val="00167043"/>
    <w:rsid w:val="0016786B"/>
    <w:rsid w:val="001678AF"/>
    <w:rsid w:val="00167B9C"/>
    <w:rsid w:val="00170B34"/>
    <w:rsid w:val="00172086"/>
    <w:rsid w:val="0017227A"/>
    <w:rsid w:val="0017284B"/>
    <w:rsid w:val="00172DD5"/>
    <w:rsid w:val="00173288"/>
    <w:rsid w:val="0017352F"/>
    <w:rsid w:val="001757F9"/>
    <w:rsid w:val="00175C74"/>
    <w:rsid w:val="0017659C"/>
    <w:rsid w:val="00176690"/>
    <w:rsid w:val="00176BC6"/>
    <w:rsid w:val="001773F0"/>
    <w:rsid w:val="00177473"/>
    <w:rsid w:val="00177D17"/>
    <w:rsid w:val="001809E2"/>
    <w:rsid w:val="00181885"/>
    <w:rsid w:val="00181C23"/>
    <w:rsid w:val="00181D87"/>
    <w:rsid w:val="00182795"/>
    <w:rsid w:val="0018351B"/>
    <w:rsid w:val="00183A66"/>
    <w:rsid w:val="00183C1A"/>
    <w:rsid w:val="00184040"/>
    <w:rsid w:val="00184267"/>
    <w:rsid w:val="001843F2"/>
    <w:rsid w:val="00184751"/>
    <w:rsid w:val="001849E8"/>
    <w:rsid w:val="00185D09"/>
    <w:rsid w:val="00185EF2"/>
    <w:rsid w:val="001867ED"/>
    <w:rsid w:val="0018766C"/>
    <w:rsid w:val="00187BC0"/>
    <w:rsid w:val="00187D9D"/>
    <w:rsid w:val="00190A50"/>
    <w:rsid w:val="00191235"/>
    <w:rsid w:val="0019126A"/>
    <w:rsid w:val="00191275"/>
    <w:rsid w:val="001919A8"/>
    <w:rsid w:val="00191D42"/>
    <w:rsid w:val="00192A10"/>
    <w:rsid w:val="00192F06"/>
    <w:rsid w:val="001936FB"/>
    <w:rsid w:val="001937CC"/>
    <w:rsid w:val="00194781"/>
    <w:rsid w:val="001950C2"/>
    <w:rsid w:val="0019515E"/>
    <w:rsid w:val="00195BC4"/>
    <w:rsid w:val="00196987"/>
    <w:rsid w:val="00196A81"/>
    <w:rsid w:val="00196C59"/>
    <w:rsid w:val="001973BD"/>
    <w:rsid w:val="001A0BDA"/>
    <w:rsid w:val="001A2FFD"/>
    <w:rsid w:val="001A3EAD"/>
    <w:rsid w:val="001A45D0"/>
    <w:rsid w:val="001A54EE"/>
    <w:rsid w:val="001A6405"/>
    <w:rsid w:val="001A6A64"/>
    <w:rsid w:val="001A6B08"/>
    <w:rsid w:val="001A6B8D"/>
    <w:rsid w:val="001A756F"/>
    <w:rsid w:val="001B0E3C"/>
    <w:rsid w:val="001B107B"/>
    <w:rsid w:val="001B1401"/>
    <w:rsid w:val="001B1B60"/>
    <w:rsid w:val="001B223B"/>
    <w:rsid w:val="001B22BB"/>
    <w:rsid w:val="001B2FF8"/>
    <w:rsid w:val="001B333C"/>
    <w:rsid w:val="001B38D4"/>
    <w:rsid w:val="001B441A"/>
    <w:rsid w:val="001B48C6"/>
    <w:rsid w:val="001B4E1E"/>
    <w:rsid w:val="001B4F38"/>
    <w:rsid w:val="001B64B7"/>
    <w:rsid w:val="001B6804"/>
    <w:rsid w:val="001B6976"/>
    <w:rsid w:val="001B72B4"/>
    <w:rsid w:val="001B7545"/>
    <w:rsid w:val="001C05CD"/>
    <w:rsid w:val="001C0636"/>
    <w:rsid w:val="001C0E19"/>
    <w:rsid w:val="001C174E"/>
    <w:rsid w:val="001C1A00"/>
    <w:rsid w:val="001C20FF"/>
    <w:rsid w:val="001C2649"/>
    <w:rsid w:val="001C307F"/>
    <w:rsid w:val="001C32E7"/>
    <w:rsid w:val="001C3440"/>
    <w:rsid w:val="001C3D9C"/>
    <w:rsid w:val="001C4028"/>
    <w:rsid w:val="001C486F"/>
    <w:rsid w:val="001C5AB2"/>
    <w:rsid w:val="001C5E11"/>
    <w:rsid w:val="001C5F35"/>
    <w:rsid w:val="001C650C"/>
    <w:rsid w:val="001C6D17"/>
    <w:rsid w:val="001C6F16"/>
    <w:rsid w:val="001D05EB"/>
    <w:rsid w:val="001D067F"/>
    <w:rsid w:val="001D0E1B"/>
    <w:rsid w:val="001D0FD5"/>
    <w:rsid w:val="001D137F"/>
    <w:rsid w:val="001D1E9F"/>
    <w:rsid w:val="001D2678"/>
    <w:rsid w:val="001D3079"/>
    <w:rsid w:val="001D38B7"/>
    <w:rsid w:val="001D446D"/>
    <w:rsid w:val="001D479F"/>
    <w:rsid w:val="001D4870"/>
    <w:rsid w:val="001D5408"/>
    <w:rsid w:val="001D58DF"/>
    <w:rsid w:val="001D72CE"/>
    <w:rsid w:val="001E064A"/>
    <w:rsid w:val="001E0AA2"/>
    <w:rsid w:val="001E0CB4"/>
    <w:rsid w:val="001E22F2"/>
    <w:rsid w:val="001E23EB"/>
    <w:rsid w:val="001E2886"/>
    <w:rsid w:val="001E3691"/>
    <w:rsid w:val="001E3732"/>
    <w:rsid w:val="001E3FD0"/>
    <w:rsid w:val="001E4378"/>
    <w:rsid w:val="001E47BE"/>
    <w:rsid w:val="001E4CFF"/>
    <w:rsid w:val="001E4D86"/>
    <w:rsid w:val="001E5B09"/>
    <w:rsid w:val="001E5FA8"/>
    <w:rsid w:val="001E760B"/>
    <w:rsid w:val="001E79DE"/>
    <w:rsid w:val="001F0442"/>
    <w:rsid w:val="001F114C"/>
    <w:rsid w:val="001F2427"/>
    <w:rsid w:val="001F2512"/>
    <w:rsid w:val="001F33AA"/>
    <w:rsid w:val="001F3CD2"/>
    <w:rsid w:val="001F4D58"/>
    <w:rsid w:val="001F4E35"/>
    <w:rsid w:val="001F57AA"/>
    <w:rsid w:val="001F590F"/>
    <w:rsid w:val="001F6A61"/>
    <w:rsid w:val="001F70F2"/>
    <w:rsid w:val="001F776F"/>
    <w:rsid w:val="001F78A2"/>
    <w:rsid w:val="001F7D16"/>
    <w:rsid w:val="002002F6"/>
    <w:rsid w:val="0020114F"/>
    <w:rsid w:val="00201535"/>
    <w:rsid w:val="00201843"/>
    <w:rsid w:val="002022A2"/>
    <w:rsid w:val="002027C4"/>
    <w:rsid w:val="00202C49"/>
    <w:rsid w:val="002038D0"/>
    <w:rsid w:val="00204E42"/>
    <w:rsid w:val="00207008"/>
    <w:rsid w:val="00207164"/>
    <w:rsid w:val="0020785A"/>
    <w:rsid w:val="00210935"/>
    <w:rsid w:val="0021259F"/>
    <w:rsid w:val="0021275B"/>
    <w:rsid w:val="002138F6"/>
    <w:rsid w:val="00214A72"/>
    <w:rsid w:val="00214D4F"/>
    <w:rsid w:val="00215D4C"/>
    <w:rsid w:val="00215F9E"/>
    <w:rsid w:val="00216A2D"/>
    <w:rsid w:val="00216EA0"/>
    <w:rsid w:val="002171CF"/>
    <w:rsid w:val="0021752F"/>
    <w:rsid w:val="002176D5"/>
    <w:rsid w:val="002179A9"/>
    <w:rsid w:val="00217E3B"/>
    <w:rsid w:val="00217E5C"/>
    <w:rsid w:val="00220A7B"/>
    <w:rsid w:val="00220EA6"/>
    <w:rsid w:val="002215BB"/>
    <w:rsid w:val="002218D8"/>
    <w:rsid w:val="00222751"/>
    <w:rsid w:val="002229B6"/>
    <w:rsid w:val="0022380A"/>
    <w:rsid w:val="0022414D"/>
    <w:rsid w:val="0022422B"/>
    <w:rsid w:val="00224D41"/>
    <w:rsid w:val="00225399"/>
    <w:rsid w:val="00225ED2"/>
    <w:rsid w:val="00226BC8"/>
    <w:rsid w:val="00226CA5"/>
    <w:rsid w:val="002275CE"/>
    <w:rsid w:val="002278B1"/>
    <w:rsid w:val="002278C7"/>
    <w:rsid w:val="00227AFB"/>
    <w:rsid w:val="0023035D"/>
    <w:rsid w:val="00230F43"/>
    <w:rsid w:val="00231067"/>
    <w:rsid w:val="00232057"/>
    <w:rsid w:val="0023368D"/>
    <w:rsid w:val="002336D9"/>
    <w:rsid w:val="00235502"/>
    <w:rsid w:val="00235964"/>
    <w:rsid w:val="00236C47"/>
    <w:rsid w:val="00236FD2"/>
    <w:rsid w:val="0023741A"/>
    <w:rsid w:val="00237492"/>
    <w:rsid w:val="002403F8"/>
    <w:rsid w:val="00241DEF"/>
    <w:rsid w:val="002428FF"/>
    <w:rsid w:val="00242E5F"/>
    <w:rsid w:val="00243E49"/>
    <w:rsid w:val="00244119"/>
    <w:rsid w:val="002441E2"/>
    <w:rsid w:val="002449B6"/>
    <w:rsid w:val="002452B7"/>
    <w:rsid w:val="0024560B"/>
    <w:rsid w:val="00245642"/>
    <w:rsid w:val="00246F2E"/>
    <w:rsid w:val="00247085"/>
    <w:rsid w:val="002475B4"/>
    <w:rsid w:val="00247683"/>
    <w:rsid w:val="0025025E"/>
    <w:rsid w:val="00250BBA"/>
    <w:rsid w:val="002510AB"/>
    <w:rsid w:val="00251376"/>
    <w:rsid w:val="00251AD3"/>
    <w:rsid w:val="002520DA"/>
    <w:rsid w:val="0025231A"/>
    <w:rsid w:val="00253CBB"/>
    <w:rsid w:val="00253CE0"/>
    <w:rsid w:val="002541AE"/>
    <w:rsid w:val="00254327"/>
    <w:rsid w:val="0025442D"/>
    <w:rsid w:val="00254D5A"/>
    <w:rsid w:val="00254DB0"/>
    <w:rsid w:val="00254E51"/>
    <w:rsid w:val="0025579C"/>
    <w:rsid w:val="00255F7E"/>
    <w:rsid w:val="00255FDE"/>
    <w:rsid w:val="002560F9"/>
    <w:rsid w:val="00257391"/>
    <w:rsid w:val="00257D18"/>
    <w:rsid w:val="00257F9F"/>
    <w:rsid w:val="002602C4"/>
    <w:rsid w:val="00261AA0"/>
    <w:rsid w:val="00261F1C"/>
    <w:rsid w:val="002621A6"/>
    <w:rsid w:val="0026291F"/>
    <w:rsid w:val="00262B2E"/>
    <w:rsid w:val="00262EA2"/>
    <w:rsid w:val="0026312A"/>
    <w:rsid w:val="002637E5"/>
    <w:rsid w:val="00263DFE"/>
    <w:rsid w:val="00264DD3"/>
    <w:rsid w:val="002655C3"/>
    <w:rsid w:val="00265A9A"/>
    <w:rsid w:val="00265B3C"/>
    <w:rsid w:val="00265BB5"/>
    <w:rsid w:val="0026674E"/>
    <w:rsid w:val="00267AC3"/>
    <w:rsid w:val="00267CE6"/>
    <w:rsid w:val="00270859"/>
    <w:rsid w:val="002720AC"/>
    <w:rsid w:val="00273A04"/>
    <w:rsid w:val="00273AED"/>
    <w:rsid w:val="00273DF1"/>
    <w:rsid w:val="00273E0B"/>
    <w:rsid w:val="00274137"/>
    <w:rsid w:val="00274297"/>
    <w:rsid w:val="002746D0"/>
    <w:rsid w:val="002749D6"/>
    <w:rsid w:val="00276E53"/>
    <w:rsid w:val="00281242"/>
    <w:rsid w:val="002814EA"/>
    <w:rsid w:val="0028207B"/>
    <w:rsid w:val="002824E3"/>
    <w:rsid w:val="00282636"/>
    <w:rsid w:val="002830D8"/>
    <w:rsid w:val="00283A2E"/>
    <w:rsid w:val="00284CE4"/>
    <w:rsid w:val="00285ED2"/>
    <w:rsid w:val="002866E3"/>
    <w:rsid w:val="00286C81"/>
    <w:rsid w:val="00290750"/>
    <w:rsid w:val="0029077E"/>
    <w:rsid w:val="00290790"/>
    <w:rsid w:val="00291073"/>
    <w:rsid w:val="00291A8F"/>
    <w:rsid w:val="00291AF7"/>
    <w:rsid w:val="0029269B"/>
    <w:rsid w:val="002927F8"/>
    <w:rsid w:val="00294D67"/>
    <w:rsid w:val="00295749"/>
    <w:rsid w:val="00296376"/>
    <w:rsid w:val="00296606"/>
    <w:rsid w:val="0029693D"/>
    <w:rsid w:val="00297ACE"/>
    <w:rsid w:val="002A00A4"/>
    <w:rsid w:val="002A09D3"/>
    <w:rsid w:val="002A0E9B"/>
    <w:rsid w:val="002A14C8"/>
    <w:rsid w:val="002A1BFC"/>
    <w:rsid w:val="002A24C0"/>
    <w:rsid w:val="002A3380"/>
    <w:rsid w:val="002A344F"/>
    <w:rsid w:val="002A39A6"/>
    <w:rsid w:val="002A46AC"/>
    <w:rsid w:val="002A4782"/>
    <w:rsid w:val="002A4A66"/>
    <w:rsid w:val="002A4B31"/>
    <w:rsid w:val="002A5205"/>
    <w:rsid w:val="002A5C0B"/>
    <w:rsid w:val="002A5E49"/>
    <w:rsid w:val="002A6706"/>
    <w:rsid w:val="002A67B2"/>
    <w:rsid w:val="002A6961"/>
    <w:rsid w:val="002A6D6C"/>
    <w:rsid w:val="002A70CF"/>
    <w:rsid w:val="002B068C"/>
    <w:rsid w:val="002B070C"/>
    <w:rsid w:val="002B0BFC"/>
    <w:rsid w:val="002B11C6"/>
    <w:rsid w:val="002B21A4"/>
    <w:rsid w:val="002B21FA"/>
    <w:rsid w:val="002B30FF"/>
    <w:rsid w:val="002B5CBD"/>
    <w:rsid w:val="002B5CE1"/>
    <w:rsid w:val="002B5F1A"/>
    <w:rsid w:val="002B754D"/>
    <w:rsid w:val="002C0013"/>
    <w:rsid w:val="002C017B"/>
    <w:rsid w:val="002C0EE3"/>
    <w:rsid w:val="002C186B"/>
    <w:rsid w:val="002C4C3E"/>
    <w:rsid w:val="002C50F0"/>
    <w:rsid w:val="002C53A0"/>
    <w:rsid w:val="002C5C21"/>
    <w:rsid w:val="002C64F7"/>
    <w:rsid w:val="002C7A3D"/>
    <w:rsid w:val="002D04E5"/>
    <w:rsid w:val="002D0F38"/>
    <w:rsid w:val="002D105C"/>
    <w:rsid w:val="002D1651"/>
    <w:rsid w:val="002D1CF4"/>
    <w:rsid w:val="002D200F"/>
    <w:rsid w:val="002D2318"/>
    <w:rsid w:val="002D25D4"/>
    <w:rsid w:val="002D347E"/>
    <w:rsid w:val="002D3F6F"/>
    <w:rsid w:val="002D43CF"/>
    <w:rsid w:val="002D4698"/>
    <w:rsid w:val="002D69ED"/>
    <w:rsid w:val="002D6F46"/>
    <w:rsid w:val="002D728F"/>
    <w:rsid w:val="002E09DD"/>
    <w:rsid w:val="002E0CC4"/>
    <w:rsid w:val="002E0F0E"/>
    <w:rsid w:val="002E1AE6"/>
    <w:rsid w:val="002E1DE9"/>
    <w:rsid w:val="002E2E94"/>
    <w:rsid w:val="002E42C8"/>
    <w:rsid w:val="002E4D97"/>
    <w:rsid w:val="002E51AF"/>
    <w:rsid w:val="002E598E"/>
    <w:rsid w:val="002E5D9C"/>
    <w:rsid w:val="002E6B3B"/>
    <w:rsid w:val="002E748F"/>
    <w:rsid w:val="002E7A13"/>
    <w:rsid w:val="002E7F32"/>
    <w:rsid w:val="002F0D8D"/>
    <w:rsid w:val="002F0F9F"/>
    <w:rsid w:val="002F12D1"/>
    <w:rsid w:val="002F1911"/>
    <w:rsid w:val="002F1F6B"/>
    <w:rsid w:val="002F20F6"/>
    <w:rsid w:val="002F2438"/>
    <w:rsid w:val="002F2C9A"/>
    <w:rsid w:val="002F33EA"/>
    <w:rsid w:val="002F369C"/>
    <w:rsid w:val="002F39BF"/>
    <w:rsid w:val="002F408A"/>
    <w:rsid w:val="002F4BCC"/>
    <w:rsid w:val="002F4DF5"/>
    <w:rsid w:val="002F515A"/>
    <w:rsid w:val="002F5485"/>
    <w:rsid w:val="002F5D4C"/>
    <w:rsid w:val="002F60AE"/>
    <w:rsid w:val="002F696C"/>
    <w:rsid w:val="002F6E20"/>
    <w:rsid w:val="002F716B"/>
    <w:rsid w:val="002F7474"/>
    <w:rsid w:val="002F766F"/>
    <w:rsid w:val="002F7ACE"/>
    <w:rsid w:val="0030098C"/>
    <w:rsid w:val="003017FE"/>
    <w:rsid w:val="00301903"/>
    <w:rsid w:val="0030232D"/>
    <w:rsid w:val="003025C4"/>
    <w:rsid w:val="00303D02"/>
    <w:rsid w:val="0030478E"/>
    <w:rsid w:val="003049E9"/>
    <w:rsid w:val="003052C3"/>
    <w:rsid w:val="00305753"/>
    <w:rsid w:val="00305D3F"/>
    <w:rsid w:val="00305D6F"/>
    <w:rsid w:val="003061A3"/>
    <w:rsid w:val="003062CB"/>
    <w:rsid w:val="00306674"/>
    <w:rsid w:val="003068B3"/>
    <w:rsid w:val="00306C57"/>
    <w:rsid w:val="00307416"/>
    <w:rsid w:val="003077E6"/>
    <w:rsid w:val="00307BBE"/>
    <w:rsid w:val="00307BC8"/>
    <w:rsid w:val="003101FA"/>
    <w:rsid w:val="003103E6"/>
    <w:rsid w:val="00311098"/>
    <w:rsid w:val="00311570"/>
    <w:rsid w:val="003119C6"/>
    <w:rsid w:val="00311D53"/>
    <w:rsid w:val="0031212F"/>
    <w:rsid w:val="003122B9"/>
    <w:rsid w:val="00312895"/>
    <w:rsid w:val="00312A56"/>
    <w:rsid w:val="00312B7D"/>
    <w:rsid w:val="0031306E"/>
    <w:rsid w:val="00313C64"/>
    <w:rsid w:val="00314271"/>
    <w:rsid w:val="003142B7"/>
    <w:rsid w:val="00314402"/>
    <w:rsid w:val="00314CAD"/>
    <w:rsid w:val="00315284"/>
    <w:rsid w:val="003159B1"/>
    <w:rsid w:val="00315DC2"/>
    <w:rsid w:val="00315EC2"/>
    <w:rsid w:val="00315F10"/>
    <w:rsid w:val="00316190"/>
    <w:rsid w:val="00316753"/>
    <w:rsid w:val="00316783"/>
    <w:rsid w:val="003168EC"/>
    <w:rsid w:val="003173BF"/>
    <w:rsid w:val="00317D02"/>
    <w:rsid w:val="00320E0F"/>
    <w:rsid w:val="00321220"/>
    <w:rsid w:val="003213C2"/>
    <w:rsid w:val="00321B99"/>
    <w:rsid w:val="00321C0E"/>
    <w:rsid w:val="00321CF2"/>
    <w:rsid w:val="00322405"/>
    <w:rsid w:val="00323B23"/>
    <w:rsid w:val="00325105"/>
    <w:rsid w:val="00325A0B"/>
    <w:rsid w:val="00325E2C"/>
    <w:rsid w:val="0032680C"/>
    <w:rsid w:val="003274EF"/>
    <w:rsid w:val="0032777F"/>
    <w:rsid w:val="00327790"/>
    <w:rsid w:val="003303CE"/>
    <w:rsid w:val="00330E48"/>
    <w:rsid w:val="003313E8"/>
    <w:rsid w:val="0033171D"/>
    <w:rsid w:val="00331B5F"/>
    <w:rsid w:val="00331CCE"/>
    <w:rsid w:val="00331D28"/>
    <w:rsid w:val="00332EA5"/>
    <w:rsid w:val="00335120"/>
    <w:rsid w:val="003356ED"/>
    <w:rsid w:val="00336D22"/>
    <w:rsid w:val="00336DA5"/>
    <w:rsid w:val="00336E2C"/>
    <w:rsid w:val="00337427"/>
    <w:rsid w:val="00337AC1"/>
    <w:rsid w:val="003401DB"/>
    <w:rsid w:val="00340A13"/>
    <w:rsid w:val="00340C84"/>
    <w:rsid w:val="00341092"/>
    <w:rsid w:val="00341212"/>
    <w:rsid w:val="00341800"/>
    <w:rsid w:val="00341CF5"/>
    <w:rsid w:val="003424EA"/>
    <w:rsid w:val="00342A93"/>
    <w:rsid w:val="00343610"/>
    <w:rsid w:val="00343709"/>
    <w:rsid w:val="00343F4C"/>
    <w:rsid w:val="003465F2"/>
    <w:rsid w:val="00347402"/>
    <w:rsid w:val="0035030B"/>
    <w:rsid w:val="0035124A"/>
    <w:rsid w:val="0035134F"/>
    <w:rsid w:val="00351701"/>
    <w:rsid w:val="00351BA9"/>
    <w:rsid w:val="00352679"/>
    <w:rsid w:val="003548FD"/>
    <w:rsid w:val="00354A98"/>
    <w:rsid w:val="00355146"/>
    <w:rsid w:val="00355299"/>
    <w:rsid w:val="00355F8F"/>
    <w:rsid w:val="003565E7"/>
    <w:rsid w:val="00356C0B"/>
    <w:rsid w:val="003575AC"/>
    <w:rsid w:val="00357F66"/>
    <w:rsid w:val="00360035"/>
    <w:rsid w:val="0036019B"/>
    <w:rsid w:val="00360C83"/>
    <w:rsid w:val="00360F47"/>
    <w:rsid w:val="00361660"/>
    <w:rsid w:val="00361BAF"/>
    <w:rsid w:val="00361F0E"/>
    <w:rsid w:val="00362B54"/>
    <w:rsid w:val="003631F7"/>
    <w:rsid w:val="00363651"/>
    <w:rsid w:val="0036378F"/>
    <w:rsid w:val="00363A21"/>
    <w:rsid w:val="00364722"/>
    <w:rsid w:val="00365290"/>
    <w:rsid w:val="00365443"/>
    <w:rsid w:val="00365867"/>
    <w:rsid w:val="00365D0C"/>
    <w:rsid w:val="00365D54"/>
    <w:rsid w:val="00365ECC"/>
    <w:rsid w:val="00366267"/>
    <w:rsid w:val="00366487"/>
    <w:rsid w:val="003665E2"/>
    <w:rsid w:val="00367884"/>
    <w:rsid w:val="0036793B"/>
    <w:rsid w:val="00367E4F"/>
    <w:rsid w:val="00370131"/>
    <w:rsid w:val="0037116A"/>
    <w:rsid w:val="003717D1"/>
    <w:rsid w:val="003719AA"/>
    <w:rsid w:val="00372244"/>
    <w:rsid w:val="003728E7"/>
    <w:rsid w:val="00372B61"/>
    <w:rsid w:val="00373A03"/>
    <w:rsid w:val="00373B60"/>
    <w:rsid w:val="00373E60"/>
    <w:rsid w:val="003746AA"/>
    <w:rsid w:val="003751CA"/>
    <w:rsid w:val="00375341"/>
    <w:rsid w:val="00375B94"/>
    <w:rsid w:val="0037677F"/>
    <w:rsid w:val="003772CB"/>
    <w:rsid w:val="00377A4F"/>
    <w:rsid w:val="003808AF"/>
    <w:rsid w:val="00381425"/>
    <w:rsid w:val="003814DB"/>
    <w:rsid w:val="00382A70"/>
    <w:rsid w:val="00382B8D"/>
    <w:rsid w:val="00382C5F"/>
    <w:rsid w:val="00382DE7"/>
    <w:rsid w:val="0038365D"/>
    <w:rsid w:val="00383ABD"/>
    <w:rsid w:val="00383E91"/>
    <w:rsid w:val="0038407B"/>
    <w:rsid w:val="0038479C"/>
    <w:rsid w:val="003853B0"/>
    <w:rsid w:val="00385518"/>
    <w:rsid w:val="00385BD1"/>
    <w:rsid w:val="00385D1C"/>
    <w:rsid w:val="00385F99"/>
    <w:rsid w:val="00386313"/>
    <w:rsid w:val="003870FB"/>
    <w:rsid w:val="0038718F"/>
    <w:rsid w:val="0039165E"/>
    <w:rsid w:val="00391BCE"/>
    <w:rsid w:val="00392028"/>
    <w:rsid w:val="0039226F"/>
    <w:rsid w:val="00392413"/>
    <w:rsid w:val="0039283E"/>
    <w:rsid w:val="00393715"/>
    <w:rsid w:val="00393A05"/>
    <w:rsid w:val="00393B59"/>
    <w:rsid w:val="00394611"/>
    <w:rsid w:val="00394697"/>
    <w:rsid w:val="00394B97"/>
    <w:rsid w:val="00394E33"/>
    <w:rsid w:val="0039648E"/>
    <w:rsid w:val="00397532"/>
    <w:rsid w:val="00397C65"/>
    <w:rsid w:val="00397C89"/>
    <w:rsid w:val="003A0525"/>
    <w:rsid w:val="003A0997"/>
    <w:rsid w:val="003A0D5E"/>
    <w:rsid w:val="003A333E"/>
    <w:rsid w:val="003A39EC"/>
    <w:rsid w:val="003A47F1"/>
    <w:rsid w:val="003A4C13"/>
    <w:rsid w:val="003A51FF"/>
    <w:rsid w:val="003A5A4E"/>
    <w:rsid w:val="003A6A34"/>
    <w:rsid w:val="003A6C8D"/>
    <w:rsid w:val="003A71E5"/>
    <w:rsid w:val="003A781A"/>
    <w:rsid w:val="003A7DE6"/>
    <w:rsid w:val="003A7EFE"/>
    <w:rsid w:val="003B0EAD"/>
    <w:rsid w:val="003B10D0"/>
    <w:rsid w:val="003B189B"/>
    <w:rsid w:val="003B219F"/>
    <w:rsid w:val="003B30E4"/>
    <w:rsid w:val="003B3710"/>
    <w:rsid w:val="003B3934"/>
    <w:rsid w:val="003B5276"/>
    <w:rsid w:val="003B5AA1"/>
    <w:rsid w:val="003B6137"/>
    <w:rsid w:val="003B6612"/>
    <w:rsid w:val="003B6C27"/>
    <w:rsid w:val="003B711B"/>
    <w:rsid w:val="003B7728"/>
    <w:rsid w:val="003B7753"/>
    <w:rsid w:val="003C0322"/>
    <w:rsid w:val="003C08F1"/>
    <w:rsid w:val="003C16A6"/>
    <w:rsid w:val="003C16A7"/>
    <w:rsid w:val="003C1E9E"/>
    <w:rsid w:val="003C1FB5"/>
    <w:rsid w:val="003C2019"/>
    <w:rsid w:val="003C2CD8"/>
    <w:rsid w:val="003C2E18"/>
    <w:rsid w:val="003C372C"/>
    <w:rsid w:val="003C3C26"/>
    <w:rsid w:val="003C41FB"/>
    <w:rsid w:val="003C47AC"/>
    <w:rsid w:val="003C4844"/>
    <w:rsid w:val="003C5B0C"/>
    <w:rsid w:val="003C6122"/>
    <w:rsid w:val="003C626D"/>
    <w:rsid w:val="003C70A6"/>
    <w:rsid w:val="003C729B"/>
    <w:rsid w:val="003C7561"/>
    <w:rsid w:val="003C7692"/>
    <w:rsid w:val="003C7CFC"/>
    <w:rsid w:val="003C7F6F"/>
    <w:rsid w:val="003C7FE2"/>
    <w:rsid w:val="003D0808"/>
    <w:rsid w:val="003D0E20"/>
    <w:rsid w:val="003D0F18"/>
    <w:rsid w:val="003D2451"/>
    <w:rsid w:val="003D2561"/>
    <w:rsid w:val="003D287B"/>
    <w:rsid w:val="003D304C"/>
    <w:rsid w:val="003D32D3"/>
    <w:rsid w:val="003D347F"/>
    <w:rsid w:val="003D3CF8"/>
    <w:rsid w:val="003D472D"/>
    <w:rsid w:val="003D4B1C"/>
    <w:rsid w:val="003D5256"/>
    <w:rsid w:val="003D53BA"/>
    <w:rsid w:val="003D5D19"/>
    <w:rsid w:val="003D62CC"/>
    <w:rsid w:val="003D773F"/>
    <w:rsid w:val="003D77F6"/>
    <w:rsid w:val="003E0271"/>
    <w:rsid w:val="003E0985"/>
    <w:rsid w:val="003E0CC1"/>
    <w:rsid w:val="003E0D47"/>
    <w:rsid w:val="003E183B"/>
    <w:rsid w:val="003E1B90"/>
    <w:rsid w:val="003E2460"/>
    <w:rsid w:val="003E2998"/>
    <w:rsid w:val="003E2CB5"/>
    <w:rsid w:val="003E38CF"/>
    <w:rsid w:val="003E39B2"/>
    <w:rsid w:val="003E42B5"/>
    <w:rsid w:val="003E4B7A"/>
    <w:rsid w:val="003E4BC3"/>
    <w:rsid w:val="003E61EE"/>
    <w:rsid w:val="003E6B80"/>
    <w:rsid w:val="003E7217"/>
    <w:rsid w:val="003E7503"/>
    <w:rsid w:val="003F07E1"/>
    <w:rsid w:val="003F0985"/>
    <w:rsid w:val="003F11C5"/>
    <w:rsid w:val="003F192B"/>
    <w:rsid w:val="003F1A1B"/>
    <w:rsid w:val="003F2ADC"/>
    <w:rsid w:val="003F2C78"/>
    <w:rsid w:val="003F31C6"/>
    <w:rsid w:val="003F33BB"/>
    <w:rsid w:val="003F3E9E"/>
    <w:rsid w:val="003F4765"/>
    <w:rsid w:val="003F6790"/>
    <w:rsid w:val="003F6D6C"/>
    <w:rsid w:val="003F7D92"/>
    <w:rsid w:val="0040028F"/>
    <w:rsid w:val="004002AA"/>
    <w:rsid w:val="004013A4"/>
    <w:rsid w:val="004014A9"/>
    <w:rsid w:val="00401C36"/>
    <w:rsid w:val="00401C4E"/>
    <w:rsid w:val="00402502"/>
    <w:rsid w:val="00402DF5"/>
    <w:rsid w:val="0040322E"/>
    <w:rsid w:val="00403C0C"/>
    <w:rsid w:val="00404A10"/>
    <w:rsid w:val="00404F1D"/>
    <w:rsid w:val="00405579"/>
    <w:rsid w:val="004055F3"/>
    <w:rsid w:val="004059E8"/>
    <w:rsid w:val="00406452"/>
    <w:rsid w:val="0040647D"/>
    <w:rsid w:val="00407549"/>
    <w:rsid w:val="00407B83"/>
    <w:rsid w:val="004100A2"/>
    <w:rsid w:val="00410840"/>
    <w:rsid w:val="004124CF"/>
    <w:rsid w:val="004134D9"/>
    <w:rsid w:val="00413760"/>
    <w:rsid w:val="0041441B"/>
    <w:rsid w:val="00414551"/>
    <w:rsid w:val="00414561"/>
    <w:rsid w:val="00414BFD"/>
    <w:rsid w:val="00414F63"/>
    <w:rsid w:val="004150D1"/>
    <w:rsid w:val="00415840"/>
    <w:rsid w:val="00415DB3"/>
    <w:rsid w:val="00415F95"/>
    <w:rsid w:val="0041709A"/>
    <w:rsid w:val="00417367"/>
    <w:rsid w:val="00417516"/>
    <w:rsid w:val="00417B03"/>
    <w:rsid w:val="00420646"/>
    <w:rsid w:val="0042093C"/>
    <w:rsid w:val="00420AB0"/>
    <w:rsid w:val="00420E32"/>
    <w:rsid w:val="004211D1"/>
    <w:rsid w:val="00421283"/>
    <w:rsid w:val="004220ED"/>
    <w:rsid w:val="00423549"/>
    <w:rsid w:val="0042396D"/>
    <w:rsid w:val="00423BE9"/>
    <w:rsid w:val="0042410E"/>
    <w:rsid w:val="00424628"/>
    <w:rsid w:val="00424CD4"/>
    <w:rsid w:val="0042629D"/>
    <w:rsid w:val="00426781"/>
    <w:rsid w:val="00427142"/>
    <w:rsid w:val="00427A66"/>
    <w:rsid w:val="00427ADE"/>
    <w:rsid w:val="004304C7"/>
    <w:rsid w:val="00430E90"/>
    <w:rsid w:val="004310F7"/>
    <w:rsid w:val="0043198C"/>
    <w:rsid w:val="00431AED"/>
    <w:rsid w:val="00431BEB"/>
    <w:rsid w:val="00431F6C"/>
    <w:rsid w:val="00432081"/>
    <w:rsid w:val="004320BA"/>
    <w:rsid w:val="004323B7"/>
    <w:rsid w:val="00432513"/>
    <w:rsid w:val="0043269C"/>
    <w:rsid w:val="00432D42"/>
    <w:rsid w:val="00432FCB"/>
    <w:rsid w:val="0043365A"/>
    <w:rsid w:val="00434883"/>
    <w:rsid w:val="00435C09"/>
    <w:rsid w:val="0043796F"/>
    <w:rsid w:val="00440354"/>
    <w:rsid w:val="00440C26"/>
    <w:rsid w:val="00440D1F"/>
    <w:rsid w:val="004412A2"/>
    <w:rsid w:val="004416DC"/>
    <w:rsid w:val="00442EC7"/>
    <w:rsid w:val="00444BEE"/>
    <w:rsid w:val="00444D2E"/>
    <w:rsid w:val="00444E36"/>
    <w:rsid w:val="00445643"/>
    <w:rsid w:val="00445B33"/>
    <w:rsid w:val="00447792"/>
    <w:rsid w:val="00450AD0"/>
    <w:rsid w:val="00450DA3"/>
    <w:rsid w:val="00451C1E"/>
    <w:rsid w:val="00452383"/>
    <w:rsid w:val="00452791"/>
    <w:rsid w:val="004529AD"/>
    <w:rsid w:val="00452DFD"/>
    <w:rsid w:val="00453802"/>
    <w:rsid w:val="004542E7"/>
    <w:rsid w:val="00454407"/>
    <w:rsid w:val="00454D07"/>
    <w:rsid w:val="004556C0"/>
    <w:rsid w:val="00455727"/>
    <w:rsid w:val="004557F2"/>
    <w:rsid w:val="00455FB4"/>
    <w:rsid w:val="00456057"/>
    <w:rsid w:val="004567AD"/>
    <w:rsid w:val="00457410"/>
    <w:rsid w:val="00460506"/>
    <w:rsid w:val="0046188A"/>
    <w:rsid w:val="00461F06"/>
    <w:rsid w:val="00462B57"/>
    <w:rsid w:val="00462E82"/>
    <w:rsid w:val="00463502"/>
    <w:rsid w:val="0046494C"/>
    <w:rsid w:val="00465114"/>
    <w:rsid w:val="004657E3"/>
    <w:rsid w:val="00466022"/>
    <w:rsid w:val="004710AC"/>
    <w:rsid w:val="004717AE"/>
    <w:rsid w:val="00472073"/>
    <w:rsid w:val="00472AC8"/>
    <w:rsid w:val="00472C92"/>
    <w:rsid w:val="00472ED0"/>
    <w:rsid w:val="0047435B"/>
    <w:rsid w:val="00474400"/>
    <w:rsid w:val="0047573D"/>
    <w:rsid w:val="00475A0F"/>
    <w:rsid w:val="00477857"/>
    <w:rsid w:val="00477A45"/>
    <w:rsid w:val="004809CA"/>
    <w:rsid w:val="004819B1"/>
    <w:rsid w:val="004822A8"/>
    <w:rsid w:val="00482544"/>
    <w:rsid w:val="0048295C"/>
    <w:rsid w:val="0048361C"/>
    <w:rsid w:val="00483BEE"/>
    <w:rsid w:val="004841B9"/>
    <w:rsid w:val="0048461B"/>
    <w:rsid w:val="00484D7A"/>
    <w:rsid w:val="0048541D"/>
    <w:rsid w:val="004859E7"/>
    <w:rsid w:val="00486413"/>
    <w:rsid w:val="0048780B"/>
    <w:rsid w:val="0048784A"/>
    <w:rsid w:val="0048784E"/>
    <w:rsid w:val="0049026C"/>
    <w:rsid w:val="0049088D"/>
    <w:rsid w:val="0049212A"/>
    <w:rsid w:val="0049218A"/>
    <w:rsid w:val="00492591"/>
    <w:rsid w:val="00492F47"/>
    <w:rsid w:val="00493218"/>
    <w:rsid w:val="00493439"/>
    <w:rsid w:val="0049382D"/>
    <w:rsid w:val="00493C33"/>
    <w:rsid w:val="00494730"/>
    <w:rsid w:val="00495FE9"/>
    <w:rsid w:val="0049678B"/>
    <w:rsid w:val="00497433"/>
    <w:rsid w:val="00497542"/>
    <w:rsid w:val="004979AA"/>
    <w:rsid w:val="00497B39"/>
    <w:rsid w:val="004A0214"/>
    <w:rsid w:val="004A07CA"/>
    <w:rsid w:val="004A1122"/>
    <w:rsid w:val="004A177E"/>
    <w:rsid w:val="004A1D85"/>
    <w:rsid w:val="004A2305"/>
    <w:rsid w:val="004A2764"/>
    <w:rsid w:val="004A33DF"/>
    <w:rsid w:val="004A3A2C"/>
    <w:rsid w:val="004A3CA5"/>
    <w:rsid w:val="004A415A"/>
    <w:rsid w:val="004A4A13"/>
    <w:rsid w:val="004A5437"/>
    <w:rsid w:val="004A59E0"/>
    <w:rsid w:val="004A5C38"/>
    <w:rsid w:val="004A6159"/>
    <w:rsid w:val="004A6DBF"/>
    <w:rsid w:val="004A6F2D"/>
    <w:rsid w:val="004A7340"/>
    <w:rsid w:val="004B00B3"/>
    <w:rsid w:val="004B01CE"/>
    <w:rsid w:val="004B0282"/>
    <w:rsid w:val="004B0401"/>
    <w:rsid w:val="004B119D"/>
    <w:rsid w:val="004B13A1"/>
    <w:rsid w:val="004B1836"/>
    <w:rsid w:val="004B1983"/>
    <w:rsid w:val="004B2105"/>
    <w:rsid w:val="004B2419"/>
    <w:rsid w:val="004B2513"/>
    <w:rsid w:val="004B2A14"/>
    <w:rsid w:val="004B2DD5"/>
    <w:rsid w:val="004B2EC9"/>
    <w:rsid w:val="004B30E1"/>
    <w:rsid w:val="004B32D6"/>
    <w:rsid w:val="004B4125"/>
    <w:rsid w:val="004B465C"/>
    <w:rsid w:val="004B58A4"/>
    <w:rsid w:val="004B6092"/>
    <w:rsid w:val="004B6B78"/>
    <w:rsid w:val="004B6D21"/>
    <w:rsid w:val="004C0F2B"/>
    <w:rsid w:val="004C1679"/>
    <w:rsid w:val="004C1691"/>
    <w:rsid w:val="004C18B5"/>
    <w:rsid w:val="004C3B5A"/>
    <w:rsid w:val="004C4A9A"/>
    <w:rsid w:val="004C5904"/>
    <w:rsid w:val="004C5A59"/>
    <w:rsid w:val="004C5E51"/>
    <w:rsid w:val="004C5FC9"/>
    <w:rsid w:val="004C652B"/>
    <w:rsid w:val="004C675D"/>
    <w:rsid w:val="004C6772"/>
    <w:rsid w:val="004C75AB"/>
    <w:rsid w:val="004C7690"/>
    <w:rsid w:val="004C7A03"/>
    <w:rsid w:val="004C7F1F"/>
    <w:rsid w:val="004D0D66"/>
    <w:rsid w:val="004D1098"/>
    <w:rsid w:val="004D1379"/>
    <w:rsid w:val="004D3C0B"/>
    <w:rsid w:val="004D3EAE"/>
    <w:rsid w:val="004D507D"/>
    <w:rsid w:val="004D6532"/>
    <w:rsid w:val="004E06BD"/>
    <w:rsid w:val="004E2213"/>
    <w:rsid w:val="004E3178"/>
    <w:rsid w:val="004E322D"/>
    <w:rsid w:val="004E4CA6"/>
    <w:rsid w:val="004E5A8A"/>
    <w:rsid w:val="004E5F09"/>
    <w:rsid w:val="004E66F9"/>
    <w:rsid w:val="004E67F4"/>
    <w:rsid w:val="004E69AC"/>
    <w:rsid w:val="004E6E58"/>
    <w:rsid w:val="004E6EED"/>
    <w:rsid w:val="004E6FE6"/>
    <w:rsid w:val="004E7107"/>
    <w:rsid w:val="004E7F5A"/>
    <w:rsid w:val="004E7F92"/>
    <w:rsid w:val="004F0E3E"/>
    <w:rsid w:val="004F30FC"/>
    <w:rsid w:val="004F35F4"/>
    <w:rsid w:val="004F385A"/>
    <w:rsid w:val="004F3ABF"/>
    <w:rsid w:val="004F3C69"/>
    <w:rsid w:val="004F3F25"/>
    <w:rsid w:val="004F3FBC"/>
    <w:rsid w:val="004F43AE"/>
    <w:rsid w:val="004F45B5"/>
    <w:rsid w:val="004F4A5B"/>
    <w:rsid w:val="004F4C6A"/>
    <w:rsid w:val="004F4CA8"/>
    <w:rsid w:val="004F5751"/>
    <w:rsid w:val="004F5CEA"/>
    <w:rsid w:val="004F6FD5"/>
    <w:rsid w:val="005007B0"/>
    <w:rsid w:val="00501179"/>
    <w:rsid w:val="0050123C"/>
    <w:rsid w:val="0050195A"/>
    <w:rsid w:val="00501B5D"/>
    <w:rsid w:val="00501D69"/>
    <w:rsid w:val="005026F9"/>
    <w:rsid w:val="0050285C"/>
    <w:rsid w:val="00502918"/>
    <w:rsid w:val="0050354C"/>
    <w:rsid w:val="00503892"/>
    <w:rsid w:val="00503925"/>
    <w:rsid w:val="005040CE"/>
    <w:rsid w:val="0050410C"/>
    <w:rsid w:val="005044A5"/>
    <w:rsid w:val="00504F4D"/>
    <w:rsid w:val="00504FF7"/>
    <w:rsid w:val="005052C0"/>
    <w:rsid w:val="00505A0A"/>
    <w:rsid w:val="0050603D"/>
    <w:rsid w:val="0050614E"/>
    <w:rsid w:val="0050663D"/>
    <w:rsid w:val="0050714D"/>
    <w:rsid w:val="00507823"/>
    <w:rsid w:val="00507F33"/>
    <w:rsid w:val="00510428"/>
    <w:rsid w:val="00510999"/>
    <w:rsid w:val="00511B11"/>
    <w:rsid w:val="00511D5B"/>
    <w:rsid w:val="005129B6"/>
    <w:rsid w:val="00512E23"/>
    <w:rsid w:val="00513B19"/>
    <w:rsid w:val="00513BEE"/>
    <w:rsid w:val="0051440F"/>
    <w:rsid w:val="005146A2"/>
    <w:rsid w:val="00514760"/>
    <w:rsid w:val="00515532"/>
    <w:rsid w:val="00516747"/>
    <w:rsid w:val="00517FCA"/>
    <w:rsid w:val="00520827"/>
    <w:rsid w:val="005214F3"/>
    <w:rsid w:val="00521A0F"/>
    <w:rsid w:val="00522DE6"/>
    <w:rsid w:val="00523228"/>
    <w:rsid w:val="00523848"/>
    <w:rsid w:val="0052391E"/>
    <w:rsid w:val="00524754"/>
    <w:rsid w:val="0052520E"/>
    <w:rsid w:val="005256C1"/>
    <w:rsid w:val="005257E6"/>
    <w:rsid w:val="0052584F"/>
    <w:rsid w:val="00525A58"/>
    <w:rsid w:val="00525E51"/>
    <w:rsid w:val="0052735B"/>
    <w:rsid w:val="00527362"/>
    <w:rsid w:val="00527969"/>
    <w:rsid w:val="00527D2F"/>
    <w:rsid w:val="005302E3"/>
    <w:rsid w:val="00531322"/>
    <w:rsid w:val="00531885"/>
    <w:rsid w:val="00531E0C"/>
    <w:rsid w:val="005320AA"/>
    <w:rsid w:val="005320C1"/>
    <w:rsid w:val="00532163"/>
    <w:rsid w:val="00533E66"/>
    <w:rsid w:val="0053560D"/>
    <w:rsid w:val="0053574D"/>
    <w:rsid w:val="00535BB4"/>
    <w:rsid w:val="00536044"/>
    <w:rsid w:val="00537D01"/>
    <w:rsid w:val="00537E24"/>
    <w:rsid w:val="00537F81"/>
    <w:rsid w:val="0054016E"/>
    <w:rsid w:val="00540363"/>
    <w:rsid w:val="00541B1D"/>
    <w:rsid w:val="005424F4"/>
    <w:rsid w:val="0054251F"/>
    <w:rsid w:val="005434E2"/>
    <w:rsid w:val="00543602"/>
    <w:rsid w:val="00543834"/>
    <w:rsid w:val="00543D18"/>
    <w:rsid w:val="00545817"/>
    <w:rsid w:val="00546154"/>
    <w:rsid w:val="00546D2A"/>
    <w:rsid w:val="00547521"/>
    <w:rsid w:val="00547708"/>
    <w:rsid w:val="00550EEE"/>
    <w:rsid w:val="00551925"/>
    <w:rsid w:val="005522C0"/>
    <w:rsid w:val="00552F3E"/>
    <w:rsid w:val="00553CDF"/>
    <w:rsid w:val="00554726"/>
    <w:rsid w:val="00554808"/>
    <w:rsid w:val="00555010"/>
    <w:rsid w:val="005553AD"/>
    <w:rsid w:val="00556C8D"/>
    <w:rsid w:val="005575BC"/>
    <w:rsid w:val="0055791A"/>
    <w:rsid w:val="00557C05"/>
    <w:rsid w:val="00557E93"/>
    <w:rsid w:val="0056235F"/>
    <w:rsid w:val="00562623"/>
    <w:rsid w:val="00562749"/>
    <w:rsid w:val="005629BB"/>
    <w:rsid w:val="00562A48"/>
    <w:rsid w:val="00562C50"/>
    <w:rsid w:val="00562F17"/>
    <w:rsid w:val="00563340"/>
    <w:rsid w:val="00563500"/>
    <w:rsid w:val="00563EA4"/>
    <w:rsid w:val="00564379"/>
    <w:rsid w:val="005649F8"/>
    <w:rsid w:val="00564C66"/>
    <w:rsid w:val="0056575C"/>
    <w:rsid w:val="005659E3"/>
    <w:rsid w:val="00565C55"/>
    <w:rsid w:val="00566035"/>
    <w:rsid w:val="005661E5"/>
    <w:rsid w:val="0056687E"/>
    <w:rsid w:val="00570F26"/>
    <w:rsid w:val="005727A1"/>
    <w:rsid w:val="0057287D"/>
    <w:rsid w:val="005745C2"/>
    <w:rsid w:val="0057561D"/>
    <w:rsid w:val="0057567B"/>
    <w:rsid w:val="0057581D"/>
    <w:rsid w:val="00576C4F"/>
    <w:rsid w:val="005770DF"/>
    <w:rsid w:val="00577704"/>
    <w:rsid w:val="00577A19"/>
    <w:rsid w:val="00577B2F"/>
    <w:rsid w:val="0058004D"/>
    <w:rsid w:val="00580C7D"/>
    <w:rsid w:val="00580F12"/>
    <w:rsid w:val="00581400"/>
    <w:rsid w:val="0058286F"/>
    <w:rsid w:val="00583F45"/>
    <w:rsid w:val="005843B8"/>
    <w:rsid w:val="005844EC"/>
    <w:rsid w:val="00584AA4"/>
    <w:rsid w:val="00584EA4"/>
    <w:rsid w:val="0058551D"/>
    <w:rsid w:val="00585AE0"/>
    <w:rsid w:val="00585B04"/>
    <w:rsid w:val="00586273"/>
    <w:rsid w:val="00586499"/>
    <w:rsid w:val="005871F6"/>
    <w:rsid w:val="00587334"/>
    <w:rsid w:val="005873EA"/>
    <w:rsid w:val="00590116"/>
    <w:rsid w:val="005902FD"/>
    <w:rsid w:val="00590A98"/>
    <w:rsid w:val="00591815"/>
    <w:rsid w:val="00591E23"/>
    <w:rsid w:val="00592DB1"/>
    <w:rsid w:val="005934AF"/>
    <w:rsid w:val="00594780"/>
    <w:rsid w:val="00594876"/>
    <w:rsid w:val="00594C91"/>
    <w:rsid w:val="00596B2E"/>
    <w:rsid w:val="00596C4C"/>
    <w:rsid w:val="00596CA6"/>
    <w:rsid w:val="0059767F"/>
    <w:rsid w:val="00597C8E"/>
    <w:rsid w:val="005A010D"/>
    <w:rsid w:val="005A1787"/>
    <w:rsid w:val="005A192F"/>
    <w:rsid w:val="005A1C6C"/>
    <w:rsid w:val="005A1CF0"/>
    <w:rsid w:val="005A218E"/>
    <w:rsid w:val="005A2AA9"/>
    <w:rsid w:val="005A354F"/>
    <w:rsid w:val="005A4DE4"/>
    <w:rsid w:val="005A5065"/>
    <w:rsid w:val="005A5126"/>
    <w:rsid w:val="005A52C7"/>
    <w:rsid w:val="005A669E"/>
    <w:rsid w:val="005A6A8D"/>
    <w:rsid w:val="005B028E"/>
    <w:rsid w:val="005B0D4B"/>
    <w:rsid w:val="005B0F50"/>
    <w:rsid w:val="005B11E9"/>
    <w:rsid w:val="005B20BB"/>
    <w:rsid w:val="005B25EA"/>
    <w:rsid w:val="005B2798"/>
    <w:rsid w:val="005B2DDD"/>
    <w:rsid w:val="005B3E1F"/>
    <w:rsid w:val="005B4955"/>
    <w:rsid w:val="005B5A1E"/>
    <w:rsid w:val="005B5B20"/>
    <w:rsid w:val="005B679B"/>
    <w:rsid w:val="005B68E4"/>
    <w:rsid w:val="005B6C9A"/>
    <w:rsid w:val="005B76DA"/>
    <w:rsid w:val="005C2991"/>
    <w:rsid w:val="005C2A03"/>
    <w:rsid w:val="005C30C5"/>
    <w:rsid w:val="005C35A3"/>
    <w:rsid w:val="005C36D9"/>
    <w:rsid w:val="005C4C35"/>
    <w:rsid w:val="005C4EE2"/>
    <w:rsid w:val="005C5026"/>
    <w:rsid w:val="005C5312"/>
    <w:rsid w:val="005C5881"/>
    <w:rsid w:val="005C5F69"/>
    <w:rsid w:val="005C66C5"/>
    <w:rsid w:val="005C6A19"/>
    <w:rsid w:val="005C6C04"/>
    <w:rsid w:val="005C6F35"/>
    <w:rsid w:val="005C6F38"/>
    <w:rsid w:val="005D00EF"/>
    <w:rsid w:val="005D044B"/>
    <w:rsid w:val="005D0695"/>
    <w:rsid w:val="005D0863"/>
    <w:rsid w:val="005D0D1D"/>
    <w:rsid w:val="005D0FEF"/>
    <w:rsid w:val="005D1661"/>
    <w:rsid w:val="005D198F"/>
    <w:rsid w:val="005D32C9"/>
    <w:rsid w:val="005D343B"/>
    <w:rsid w:val="005D3F28"/>
    <w:rsid w:val="005D3F80"/>
    <w:rsid w:val="005D439F"/>
    <w:rsid w:val="005D478F"/>
    <w:rsid w:val="005D4C30"/>
    <w:rsid w:val="005D4E69"/>
    <w:rsid w:val="005D50ED"/>
    <w:rsid w:val="005D5EAD"/>
    <w:rsid w:val="005D7610"/>
    <w:rsid w:val="005D782F"/>
    <w:rsid w:val="005E1F99"/>
    <w:rsid w:val="005E297B"/>
    <w:rsid w:val="005E2B2C"/>
    <w:rsid w:val="005E3058"/>
    <w:rsid w:val="005E34A3"/>
    <w:rsid w:val="005E38A8"/>
    <w:rsid w:val="005E3DBE"/>
    <w:rsid w:val="005E4106"/>
    <w:rsid w:val="005E48FC"/>
    <w:rsid w:val="005E5B42"/>
    <w:rsid w:val="005E62B4"/>
    <w:rsid w:val="005E6BCC"/>
    <w:rsid w:val="005E73B7"/>
    <w:rsid w:val="005E7CA4"/>
    <w:rsid w:val="005F0ABB"/>
    <w:rsid w:val="005F0CEF"/>
    <w:rsid w:val="005F0E22"/>
    <w:rsid w:val="005F15A4"/>
    <w:rsid w:val="005F184B"/>
    <w:rsid w:val="005F24D7"/>
    <w:rsid w:val="005F3854"/>
    <w:rsid w:val="005F401B"/>
    <w:rsid w:val="005F445D"/>
    <w:rsid w:val="005F53B2"/>
    <w:rsid w:val="005F67CA"/>
    <w:rsid w:val="005F7E69"/>
    <w:rsid w:val="00600129"/>
    <w:rsid w:val="00600FD2"/>
    <w:rsid w:val="00601650"/>
    <w:rsid w:val="006018EF"/>
    <w:rsid w:val="00601969"/>
    <w:rsid w:val="0060382E"/>
    <w:rsid w:val="006053AA"/>
    <w:rsid w:val="00605A25"/>
    <w:rsid w:val="00606E41"/>
    <w:rsid w:val="00607072"/>
    <w:rsid w:val="006070AC"/>
    <w:rsid w:val="006078E6"/>
    <w:rsid w:val="00607E7C"/>
    <w:rsid w:val="00610265"/>
    <w:rsid w:val="0061165D"/>
    <w:rsid w:val="00612348"/>
    <w:rsid w:val="00612350"/>
    <w:rsid w:val="006123F5"/>
    <w:rsid w:val="00612BA9"/>
    <w:rsid w:val="00612C80"/>
    <w:rsid w:val="00612C98"/>
    <w:rsid w:val="00612F93"/>
    <w:rsid w:val="00613051"/>
    <w:rsid w:val="00613DB9"/>
    <w:rsid w:val="00613F58"/>
    <w:rsid w:val="006145CC"/>
    <w:rsid w:val="00614A42"/>
    <w:rsid w:val="00614AFF"/>
    <w:rsid w:val="00615155"/>
    <w:rsid w:val="006152F5"/>
    <w:rsid w:val="0061561A"/>
    <w:rsid w:val="00616006"/>
    <w:rsid w:val="0061677D"/>
    <w:rsid w:val="00617798"/>
    <w:rsid w:val="00617F88"/>
    <w:rsid w:val="006207DA"/>
    <w:rsid w:val="00620A00"/>
    <w:rsid w:val="006221B4"/>
    <w:rsid w:val="00622E1E"/>
    <w:rsid w:val="0062341C"/>
    <w:rsid w:val="00623461"/>
    <w:rsid w:val="00623AA7"/>
    <w:rsid w:val="00623D11"/>
    <w:rsid w:val="006241A5"/>
    <w:rsid w:val="006248E5"/>
    <w:rsid w:val="00624C50"/>
    <w:rsid w:val="006252FC"/>
    <w:rsid w:val="00625E31"/>
    <w:rsid w:val="00627F5D"/>
    <w:rsid w:val="006301E3"/>
    <w:rsid w:val="00631E50"/>
    <w:rsid w:val="006327AE"/>
    <w:rsid w:val="006331A1"/>
    <w:rsid w:val="0063480B"/>
    <w:rsid w:val="00635A83"/>
    <w:rsid w:val="00636E18"/>
    <w:rsid w:val="0063731B"/>
    <w:rsid w:val="00637B45"/>
    <w:rsid w:val="00637F98"/>
    <w:rsid w:val="00640674"/>
    <w:rsid w:val="00640904"/>
    <w:rsid w:val="0064143D"/>
    <w:rsid w:val="00641E10"/>
    <w:rsid w:val="00642C8F"/>
    <w:rsid w:val="00643585"/>
    <w:rsid w:val="00643A6E"/>
    <w:rsid w:val="00643E69"/>
    <w:rsid w:val="006445BC"/>
    <w:rsid w:val="00644A23"/>
    <w:rsid w:val="00644CCC"/>
    <w:rsid w:val="00646A53"/>
    <w:rsid w:val="00647779"/>
    <w:rsid w:val="00650D6E"/>
    <w:rsid w:val="00651038"/>
    <w:rsid w:val="0065132D"/>
    <w:rsid w:val="0065168B"/>
    <w:rsid w:val="00651B0A"/>
    <w:rsid w:val="00651B49"/>
    <w:rsid w:val="00651B8F"/>
    <w:rsid w:val="00652BED"/>
    <w:rsid w:val="006534A4"/>
    <w:rsid w:val="00653C99"/>
    <w:rsid w:val="00654FE2"/>
    <w:rsid w:val="0065507C"/>
    <w:rsid w:val="00655508"/>
    <w:rsid w:val="006558CE"/>
    <w:rsid w:val="0065670D"/>
    <w:rsid w:val="00657027"/>
    <w:rsid w:val="006573A9"/>
    <w:rsid w:val="00657ACD"/>
    <w:rsid w:val="00660AF2"/>
    <w:rsid w:val="00660B1E"/>
    <w:rsid w:val="00661083"/>
    <w:rsid w:val="00661F11"/>
    <w:rsid w:val="00662251"/>
    <w:rsid w:val="006627A5"/>
    <w:rsid w:val="00662B81"/>
    <w:rsid w:val="00662FB9"/>
    <w:rsid w:val="0066349A"/>
    <w:rsid w:val="00663FEB"/>
    <w:rsid w:val="00664665"/>
    <w:rsid w:val="00664D81"/>
    <w:rsid w:val="00665102"/>
    <w:rsid w:val="006654B5"/>
    <w:rsid w:val="00666197"/>
    <w:rsid w:val="00666621"/>
    <w:rsid w:val="0066666B"/>
    <w:rsid w:val="006668AF"/>
    <w:rsid w:val="006671D9"/>
    <w:rsid w:val="00667BC2"/>
    <w:rsid w:val="00667BF9"/>
    <w:rsid w:val="00670235"/>
    <w:rsid w:val="0067062B"/>
    <w:rsid w:val="00670711"/>
    <w:rsid w:val="00670A68"/>
    <w:rsid w:val="00670B8C"/>
    <w:rsid w:val="00671219"/>
    <w:rsid w:val="00671427"/>
    <w:rsid w:val="00671469"/>
    <w:rsid w:val="00672DC0"/>
    <w:rsid w:val="00672E2D"/>
    <w:rsid w:val="006744AA"/>
    <w:rsid w:val="00674F69"/>
    <w:rsid w:val="00675296"/>
    <w:rsid w:val="00675383"/>
    <w:rsid w:val="00676AF3"/>
    <w:rsid w:val="00676B9F"/>
    <w:rsid w:val="00677001"/>
    <w:rsid w:val="00681618"/>
    <w:rsid w:val="00681EE5"/>
    <w:rsid w:val="00682B67"/>
    <w:rsid w:val="00684417"/>
    <w:rsid w:val="0068588A"/>
    <w:rsid w:val="00685DF2"/>
    <w:rsid w:val="00686498"/>
    <w:rsid w:val="00687E04"/>
    <w:rsid w:val="00690365"/>
    <w:rsid w:val="006907E6"/>
    <w:rsid w:val="00690B40"/>
    <w:rsid w:val="0069105C"/>
    <w:rsid w:val="0069124C"/>
    <w:rsid w:val="00691DFD"/>
    <w:rsid w:val="0069201C"/>
    <w:rsid w:val="00692254"/>
    <w:rsid w:val="0069310F"/>
    <w:rsid w:val="006933E2"/>
    <w:rsid w:val="006933E5"/>
    <w:rsid w:val="00693E46"/>
    <w:rsid w:val="00694AB0"/>
    <w:rsid w:val="00694C42"/>
    <w:rsid w:val="0069582F"/>
    <w:rsid w:val="00695908"/>
    <w:rsid w:val="00695C34"/>
    <w:rsid w:val="00695D71"/>
    <w:rsid w:val="00695F56"/>
    <w:rsid w:val="006967BA"/>
    <w:rsid w:val="00696D3B"/>
    <w:rsid w:val="00696DDD"/>
    <w:rsid w:val="00697D60"/>
    <w:rsid w:val="00697E26"/>
    <w:rsid w:val="006A0F24"/>
    <w:rsid w:val="006A121B"/>
    <w:rsid w:val="006A1C8A"/>
    <w:rsid w:val="006A23A0"/>
    <w:rsid w:val="006A2E93"/>
    <w:rsid w:val="006A3775"/>
    <w:rsid w:val="006A3C85"/>
    <w:rsid w:val="006A4290"/>
    <w:rsid w:val="006A4777"/>
    <w:rsid w:val="006A4DF9"/>
    <w:rsid w:val="006A52EC"/>
    <w:rsid w:val="006A6D17"/>
    <w:rsid w:val="006A6D37"/>
    <w:rsid w:val="006A6E6D"/>
    <w:rsid w:val="006A6EF8"/>
    <w:rsid w:val="006A70B5"/>
    <w:rsid w:val="006A7196"/>
    <w:rsid w:val="006A71AF"/>
    <w:rsid w:val="006A77D9"/>
    <w:rsid w:val="006B0150"/>
    <w:rsid w:val="006B212E"/>
    <w:rsid w:val="006B24B9"/>
    <w:rsid w:val="006B28F1"/>
    <w:rsid w:val="006B2A97"/>
    <w:rsid w:val="006B2C2F"/>
    <w:rsid w:val="006B36A8"/>
    <w:rsid w:val="006B3B20"/>
    <w:rsid w:val="006B3D4D"/>
    <w:rsid w:val="006B43B5"/>
    <w:rsid w:val="006B4E37"/>
    <w:rsid w:val="006B77DA"/>
    <w:rsid w:val="006C037C"/>
    <w:rsid w:val="006C09FF"/>
    <w:rsid w:val="006C1198"/>
    <w:rsid w:val="006C1D4D"/>
    <w:rsid w:val="006C2454"/>
    <w:rsid w:val="006C26F9"/>
    <w:rsid w:val="006C318C"/>
    <w:rsid w:val="006C32AE"/>
    <w:rsid w:val="006C376E"/>
    <w:rsid w:val="006C3DEB"/>
    <w:rsid w:val="006C3E0D"/>
    <w:rsid w:val="006C51D8"/>
    <w:rsid w:val="006C5B8F"/>
    <w:rsid w:val="006C5CC2"/>
    <w:rsid w:val="006C6190"/>
    <w:rsid w:val="006C683B"/>
    <w:rsid w:val="006C6F79"/>
    <w:rsid w:val="006C7033"/>
    <w:rsid w:val="006D0520"/>
    <w:rsid w:val="006D0A5B"/>
    <w:rsid w:val="006D1301"/>
    <w:rsid w:val="006D1A91"/>
    <w:rsid w:val="006D437D"/>
    <w:rsid w:val="006D4882"/>
    <w:rsid w:val="006D4B0F"/>
    <w:rsid w:val="006D4B99"/>
    <w:rsid w:val="006D5A51"/>
    <w:rsid w:val="006D6279"/>
    <w:rsid w:val="006D644A"/>
    <w:rsid w:val="006D6CD2"/>
    <w:rsid w:val="006D6D1B"/>
    <w:rsid w:val="006D79C4"/>
    <w:rsid w:val="006E03E0"/>
    <w:rsid w:val="006E04E5"/>
    <w:rsid w:val="006E0DFE"/>
    <w:rsid w:val="006E1284"/>
    <w:rsid w:val="006E1B27"/>
    <w:rsid w:val="006E1DAA"/>
    <w:rsid w:val="006E32BF"/>
    <w:rsid w:val="006E3463"/>
    <w:rsid w:val="006E58FE"/>
    <w:rsid w:val="006E5C05"/>
    <w:rsid w:val="006E61A1"/>
    <w:rsid w:val="006E63F5"/>
    <w:rsid w:val="006E6653"/>
    <w:rsid w:val="006E6976"/>
    <w:rsid w:val="006E6BD5"/>
    <w:rsid w:val="006E700C"/>
    <w:rsid w:val="006E74DB"/>
    <w:rsid w:val="006E7A47"/>
    <w:rsid w:val="006E7E76"/>
    <w:rsid w:val="006F0515"/>
    <w:rsid w:val="006F0987"/>
    <w:rsid w:val="006F15DE"/>
    <w:rsid w:val="006F19F5"/>
    <w:rsid w:val="006F1D46"/>
    <w:rsid w:val="006F1E93"/>
    <w:rsid w:val="006F2321"/>
    <w:rsid w:val="006F259B"/>
    <w:rsid w:val="006F2D13"/>
    <w:rsid w:val="006F340C"/>
    <w:rsid w:val="006F3453"/>
    <w:rsid w:val="006F35FF"/>
    <w:rsid w:val="006F3717"/>
    <w:rsid w:val="006F42A1"/>
    <w:rsid w:val="006F4513"/>
    <w:rsid w:val="006F4CE6"/>
    <w:rsid w:val="006F4D5E"/>
    <w:rsid w:val="006F55DD"/>
    <w:rsid w:val="006F56AC"/>
    <w:rsid w:val="006F5853"/>
    <w:rsid w:val="006F58C8"/>
    <w:rsid w:val="006F73BD"/>
    <w:rsid w:val="007006D6"/>
    <w:rsid w:val="0070086D"/>
    <w:rsid w:val="00701399"/>
    <w:rsid w:val="00701E57"/>
    <w:rsid w:val="007023E2"/>
    <w:rsid w:val="00702C6F"/>
    <w:rsid w:val="00702CBC"/>
    <w:rsid w:val="00703107"/>
    <w:rsid w:val="007031C5"/>
    <w:rsid w:val="007043DD"/>
    <w:rsid w:val="00704937"/>
    <w:rsid w:val="00704C76"/>
    <w:rsid w:val="00705A2F"/>
    <w:rsid w:val="00706363"/>
    <w:rsid w:val="00706DA8"/>
    <w:rsid w:val="007072FB"/>
    <w:rsid w:val="007079D1"/>
    <w:rsid w:val="00707B09"/>
    <w:rsid w:val="00707FA4"/>
    <w:rsid w:val="00712346"/>
    <w:rsid w:val="00712CA8"/>
    <w:rsid w:val="007140F1"/>
    <w:rsid w:val="0071488B"/>
    <w:rsid w:val="007153EE"/>
    <w:rsid w:val="007154A5"/>
    <w:rsid w:val="00716772"/>
    <w:rsid w:val="00717610"/>
    <w:rsid w:val="007206E9"/>
    <w:rsid w:val="00720EDE"/>
    <w:rsid w:val="00721925"/>
    <w:rsid w:val="00721EDF"/>
    <w:rsid w:val="00722012"/>
    <w:rsid w:val="00722A5B"/>
    <w:rsid w:val="00723A85"/>
    <w:rsid w:val="007247FB"/>
    <w:rsid w:val="00724811"/>
    <w:rsid w:val="0072495D"/>
    <w:rsid w:val="00724B97"/>
    <w:rsid w:val="00724C31"/>
    <w:rsid w:val="00724DCC"/>
    <w:rsid w:val="00725359"/>
    <w:rsid w:val="0072654F"/>
    <w:rsid w:val="00727542"/>
    <w:rsid w:val="0072758B"/>
    <w:rsid w:val="00730F0C"/>
    <w:rsid w:val="00731047"/>
    <w:rsid w:val="007314AA"/>
    <w:rsid w:val="00731572"/>
    <w:rsid w:val="00731750"/>
    <w:rsid w:val="00732CE5"/>
    <w:rsid w:val="007330AA"/>
    <w:rsid w:val="00733653"/>
    <w:rsid w:val="00733FB1"/>
    <w:rsid w:val="00734976"/>
    <w:rsid w:val="00734AE0"/>
    <w:rsid w:val="00734F6C"/>
    <w:rsid w:val="0073611E"/>
    <w:rsid w:val="007363D9"/>
    <w:rsid w:val="0073668C"/>
    <w:rsid w:val="00736E36"/>
    <w:rsid w:val="00737B98"/>
    <w:rsid w:val="00740F62"/>
    <w:rsid w:val="00741F23"/>
    <w:rsid w:val="007424ED"/>
    <w:rsid w:val="007425D7"/>
    <w:rsid w:val="00742B21"/>
    <w:rsid w:val="00742B29"/>
    <w:rsid w:val="00742E2B"/>
    <w:rsid w:val="0074319C"/>
    <w:rsid w:val="007437EF"/>
    <w:rsid w:val="00743CDE"/>
    <w:rsid w:val="0074552C"/>
    <w:rsid w:val="00745980"/>
    <w:rsid w:val="00745AC1"/>
    <w:rsid w:val="00745DD3"/>
    <w:rsid w:val="00745FFB"/>
    <w:rsid w:val="007469E4"/>
    <w:rsid w:val="00747ABC"/>
    <w:rsid w:val="00750DCC"/>
    <w:rsid w:val="007512FD"/>
    <w:rsid w:val="00751863"/>
    <w:rsid w:val="00751A31"/>
    <w:rsid w:val="007526A6"/>
    <w:rsid w:val="00752B76"/>
    <w:rsid w:val="00753054"/>
    <w:rsid w:val="00753990"/>
    <w:rsid w:val="00753A7D"/>
    <w:rsid w:val="00753C98"/>
    <w:rsid w:val="007547E9"/>
    <w:rsid w:val="00754C97"/>
    <w:rsid w:val="00755E47"/>
    <w:rsid w:val="00756ACC"/>
    <w:rsid w:val="0075726A"/>
    <w:rsid w:val="00757DDC"/>
    <w:rsid w:val="00760BA0"/>
    <w:rsid w:val="00761033"/>
    <w:rsid w:val="007611CC"/>
    <w:rsid w:val="00761B51"/>
    <w:rsid w:val="00762270"/>
    <w:rsid w:val="007623C7"/>
    <w:rsid w:val="0076276B"/>
    <w:rsid w:val="007631A3"/>
    <w:rsid w:val="00764235"/>
    <w:rsid w:val="00764DD2"/>
    <w:rsid w:val="00765873"/>
    <w:rsid w:val="00765A95"/>
    <w:rsid w:val="00765EA4"/>
    <w:rsid w:val="007669DC"/>
    <w:rsid w:val="00767F20"/>
    <w:rsid w:val="00770A5E"/>
    <w:rsid w:val="007719CB"/>
    <w:rsid w:val="00771CC4"/>
    <w:rsid w:val="00772155"/>
    <w:rsid w:val="007723AF"/>
    <w:rsid w:val="007733E3"/>
    <w:rsid w:val="0077382A"/>
    <w:rsid w:val="0077419D"/>
    <w:rsid w:val="007751D4"/>
    <w:rsid w:val="00775761"/>
    <w:rsid w:val="00775AD8"/>
    <w:rsid w:val="007764FA"/>
    <w:rsid w:val="00777AD3"/>
    <w:rsid w:val="0078007B"/>
    <w:rsid w:val="00780406"/>
    <w:rsid w:val="00780ACE"/>
    <w:rsid w:val="00781BF6"/>
    <w:rsid w:val="007820DF"/>
    <w:rsid w:val="0078241D"/>
    <w:rsid w:val="007832C5"/>
    <w:rsid w:val="00783E32"/>
    <w:rsid w:val="007847E1"/>
    <w:rsid w:val="00784831"/>
    <w:rsid w:val="00784F09"/>
    <w:rsid w:val="00785285"/>
    <w:rsid w:val="00785595"/>
    <w:rsid w:val="00785FC6"/>
    <w:rsid w:val="00787735"/>
    <w:rsid w:val="00790499"/>
    <w:rsid w:val="00790D77"/>
    <w:rsid w:val="00790EFC"/>
    <w:rsid w:val="00791FEA"/>
    <w:rsid w:val="007927ED"/>
    <w:rsid w:val="0079290C"/>
    <w:rsid w:val="00792912"/>
    <w:rsid w:val="00792C34"/>
    <w:rsid w:val="00792CAB"/>
    <w:rsid w:val="00793164"/>
    <w:rsid w:val="00793B3E"/>
    <w:rsid w:val="00793D90"/>
    <w:rsid w:val="007940D5"/>
    <w:rsid w:val="00794338"/>
    <w:rsid w:val="00794944"/>
    <w:rsid w:val="007957BF"/>
    <w:rsid w:val="00795C59"/>
    <w:rsid w:val="00795D53"/>
    <w:rsid w:val="00796C35"/>
    <w:rsid w:val="00797036"/>
    <w:rsid w:val="00797181"/>
    <w:rsid w:val="0079798A"/>
    <w:rsid w:val="007A0026"/>
    <w:rsid w:val="007A0078"/>
    <w:rsid w:val="007A18D8"/>
    <w:rsid w:val="007A20A5"/>
    <w:rsid w:val="007A2E18"/>
    <w:rsid w:val="007A3331"/>
    <w:rsid w:val="007A3915"/>
    <w:rsid w:val="007A406F"/>
    <w:rsid w:val="007A503B"/>
    <w:rsid w:val="007A596E"/>
    <w:rsid w:val="007A5B2A"/>
    <w:rsid w:val="007A6186"/>
    <w:rsid w:val="007A70B3"/>
    <w:rsid w:val="007A71F7"/>
    <w:rsid w:val="007B072D"/>
    <w:rsid w:val="007B0B64"/>
    <w:rsid w:val="007B10D6"/>
    <w:rsid w:val="007B1B31"/>
    <w:rsid w:val="007B1CC3"/>
    <w:rsid w:val="007B3432"/>
    <w:rsid w:val="007B379A"/>
    <w:rsid w:val="007B41D3"/>
    <w:rsid w:val="007B4512"/>
    <w:rsid w:val="007B55E2"/>
    <w:rsid w:val="007B7B7A"/>
    <w:rsid w:val="007C0748"/>
    <w:rsid w:val="007C0ABF"/>
    <w:rsid w:val="007C1D75"/>
    <w:rsid w:val="007C2736"/>
    <w:rsid w:val="007C2ABB"/>
    <w:rsid w:val="007C2D15"/>
    <w:rsid w:val="007C30F0"/>
    <w:rsid w:val="007C3713"/>
    <w:rsid w:val="007C4740"/>
    <w:rsid w:val="007C540F"/>
    <w:rsid w:val="007C5475"/>
    <w:rsid w:val="007C5D63"/>
    <w:rsid w:val="007C626D"/>
    <w:rsid w:val="007C643A"/>
    <w:rsid w:val="007C76BC"/>
    <w:rsid w:val="007C7EC5"/>
    <w:rsid w:val="007D1600"/>
    <w:rsid w:val="007D1FDB"/>
    <w:rsid w:val="007D23C3"/>
    <w:rsid w:val="007D2521"/>
    <w:rsid w:val="007D28CA"/>
    <w:rsid w:val="007D2EF2"/>
    <w:rsid w:val="007D4331"/>
    <w:rsid w:val="007D43C0"/>
    <w:rsid w:val="007D4795"/>
    <w:rsid w:val="007D48A3"/>
    <w:rsid w:val="007D53A9"/>
    <w:rsid w:val="007D5B7A"/>
    <w:rsid w:val="007D6C65"/>
    <w:rsid w:val="007D723C"/>
    <w:rsid w:val="007D72DC"/>
    <w:rsid w:val="007E10F2"/>
    <w:rsid w:val="007E18A0"/>
    <w:rsid w:val="007E1A7D"/>
    <w:rsid w:val="007E1EA9"/>
    <w:rsid w:val="007E26FC"/>
    <w:rsid w:val="007E2A74"/>
    <w:rsid w:val="007E2C06"/>
    <w:rsid w:val="007E2E56"/>
    <w:rsid w:val="007E34A7"/>
    <w:rsid w:val="007E34B0"/>
    <w:rsid w:val="007E41AB"/>
    <w:rsid w:val="007E45A9"/>
    <w:rsid w:val="007E4E47"/>
    <w:rsid w:val="007E60AB"/>
    <w:rsid w:val="007E6278"/>
    <w:rsid w:val="007E6358"/>
    <w:rsid w:val="007E6C68"/>
    <w:rsid w:val="007E755C"/>
    <w:rsid w:val="007E782F"/>
    <w:rsid w:val="007E7FB3"/>
    <w:rsid w:val="007F046A"/>
    <w:rsid w:val="007F0538"/>
    <w:rsid w:val="007F13D1"/>
    <w:rsid w:val="007F1CF0"/>
    <w:rsid w:val="007F24C6"/>
    <w:rsid w:val="007F2858"/>
    <w:rsid w:val="007F2962"/>
    <w:rsid w:val="007F3BFF"/>
    <w:rsid w:val="007F4335"/>
    <w:rsid w:val="007F4D77"/>
    <w:rsid w:val="007F52D4"/>
    <w:rsid w:val="007F5E7D"/>
    <w:rsid w:val="007F5EED"/>
    <w:rsid w:val="007F5F3F"/>
    <w:rsid w:val="007F6889"/>
    <w:rsid w:val="007F68B3"/>
    <w:rsid w:val="007F78F7"/>
    <w:rsid w:val="007F7E64"/>
    <w:rsid w:val="008007D2"/>
    <w:rsid w:val="00800AA9"/>
    <w:rsid w:val="00800F3C"/>
    <w:rsid w:val="00801224"/>
    <w:rsid w:val="008018FC"/>
    <w:rsid w:val="00802171"/>
    <w:rsid w:val="00802241"/>
    <w:rsid w:val="0080290B"/>
    <w:rsid w:val="008032AC"/>
    <w:rsid w:val="0080485F"/>
    <w:rsid w:val="00804B53"/>
    <w:rsid w:val="00804F6C"/>
    <w:rsid w:val="008050B0"/>
    <w:rsid w:val="008056C9"/>
    <w:rsid w:val="00805AE0"/>
    <w:rsid w:val="00805CF3"/>
    <w:rsid w:val="00806054"/>
    <w:rsid w:val="00806316"/>
    <w:rsid w:val="0080661B"/>
    <w:rsid w:val="008066C6"/>
    <w:rsid w:val="008069A6"/>
    <w:rsid w:val="00807846"/>
    <w:rsid w:val="008078AF"/>
    <w:rsid w:val="0081003E"/>
    <w:rsid w:val="0081022F"/>
    <w:rsid w:val="00810BA4"/>
    <w:rsid w:val="0081107A"/>
    <w:rsid w:val="0081107C"/>
    <w:rsid w:val="0081108E"/>
    <w:rsid w:val="00812AA1"/>
    <w:rsid w:val="008135D6"/>
    <w:rsid w:val="00814499"/>
    <w:rsid w:val="00814E14"/>
    <w:rsid w:val="00815A79"/>
    <w:rsid w:val="00815B84"/>
    <w:rsid w:val="008162A8"/>
    <w:rsid w:val="00816566"/>
    <w:rsid w:val="00817335"/>
    <w:rsid w:val="008178F5"/>
    <w:rsid w:val="00817C5C"/>
    <w:rsid w:val="00817D96"/>
    <w:rsid w:val="0082039C"/>
    <w:rsid w:val="00820459"/>
    <w:rsid w:val="0082069E"/>
    <w:rsid w:val="00820C80"/>
    <w:rsid w:val="008211BA"/>
    <w:rsid w:val="00821249"/>
    <w:rsid w:val="008215A7"/>
    <w:rsid w:val="00821C83"/>
    <w:rsid w:val="00822045"/>
    <w:rsid w:val="008227A3"/>
    <w:rsid w:val="00823218"/>
    <w:rsid w:val="00823636"/>
    <w:rsid w:val="00823E50"/>
    <w:rsid w:val="008248AD"/>
    <w:rsid w:val="00824F38"/>
    <w:rsid w:val="0082509C"/>
    <w:rsid w:val="008251ED"/>
    <w:rsid w:val="00825C0F"/>
    <w:rsid w:val="00826390"/>
    <w:rsid w:val="0082653D"/>
    <w:rsid w:val="00826964"/>
    <w:rsid w:val="00826986"/>
    <w:rsid w:val="00826A56"/>
    <w:rsid w:val="00826B4E"/>
    <w:rsid w:val="00826ECD"/>
    <w:rsid w:val="008275B6"/>
    <w:rsid w:val="0082783D"/>
    <w:rsid w:val="0082796A"/>
    <w:rsid w:val="008307BE"/>
    <w:rsid w:val="00832E26"/>
    <w:rsid w:val="008339C7"/>
    <w:rsid w:val="00833E2D"/>
    <w:rsid w:val="00833F5E"/>
    <w:rsid w:val="008348DE"/>
    <w:rsid w:val="00834DBF"/>
    <w:rsid w:val="00836667"/>
    <w:rsid w:val="00837EBB"/>
    <w:rsid w:val="0084022B"/>
    <w:rsid w:val="008402D1"/>
    <w:rsid w:val="0084065F"/>
    <w:rsid w:val="0084186C"/>
    <w:rsid w:val="00841C82"/>
    <w:rsid w:val="008426D0"/>
    <w:rsid w:val="00842973"/>
    <w:rsid w:val="00842F63"/>
    <w:rsid w:val="008431FC"/>
    <w:rsid w:val="008432E0"/>
    <w:rsid w:val="00843726"/>
    <w:rsid w:val="008439B2"/>
    <w:rsid w:val="008444B5"/>
    <w:rsid w:val="0084490E"/>
    <w:rsid w:val="00844963"/>
    <w:rsid w:val="00844C01"/>
    <w:rsid w:val="00845548"/>
    <w:rsid w:val="008455AF"/>
    <w:rsid w:val="00845B9C"/>
    <w:rsid w:val="008461B2"/>
    <w:rsid w:val="008462D1"/>
    <w:rsid w:val="00847145"/>
    <w:rsid w:val="0084785B"/>
    <w:rsid w:val="0085038F"/>
    <w:rsid w:val="00850C01"/>
    <w:rsid w:val="008515F3"/>
    <w:rsid w:val="00851717"/>
    <w:rsid w:val="0085216C"/>
    <w:rsid w:val="00852DDF"/>
    <w:rsid w:val="008530DB"/>
    <w:rsid w:val="0085335D"/>
    <w:rsid w:val="00853B52"/>
    <w:rsid w:val="00854ACF"/>
    <w:rsid w:val="00855001"/>
    <w:rsid w:val="008551F9"/>
    <w:rsid w:val="00855EFD"/>
    <w:rsid w:val="008566FF"/>
    <w:rsid w:val="00856881"/>
    <w:rsid w:val="008573CD"/>
    <w:rsid w:val="00857987"/>
    <w:rsid w:val="00857F1E"/>
    <w:rsid w:val="00861C6F"/>
    <w:rsid w:val="00861C9C"/>
    <w:rsid w:val="00862084"/>
    <w:rsid w:val="008622BD"/>
    <w:rsid w:val="00862A7A"/>
    <w:rsid w:val="00862A98"/>
    <w:rsid w:val="00862B82"/>
    <w:rsid w:val="00862C7A"/>
    <w:rsid w:val="00862CF8"/>
    <w:rsid w:val="0086319E"/>
    <w:rsid w:val="00864364"/>
    <w:rsid w:val="008646F6"/>
    <w:rsid w:val="00864C79"/>
    <w:rsid w:val="008655C8"/>
    <w:rsid w:val="0086658C"/>
    <w:rsid w:val="00866B26"/>
    <w:rsid w:val="00866F6A"/>
    <w:rsid w:val="00867B09"/>
    <w:rsid w:val="00867D2E"/>
    <w:rsid w:val="00867E9B"/>
    <w:rsid w:val="00867F45"/>
    <w:rsid w:val="008707DA"/>
    <w:rsid w:val="00870DDB"/>
    <w:rsid w:val="0087138E"/>
    <w:rsid w:val="00872486"/>
    <w:rsid w:val="0087263F"/>
    <w:rsid w:val="00872707"/>
    <w:rsid w:val="008733C6"/>
    <w:rsid w:val="00873986"/>
    <w:rsid w:val="00873B37"/>
    <w:rsid w:val="00874187"/>
    <w:rsid w:val="0087469E"/>
    <w:rsid w:val="008746B7"/>
    <w:rsid w:val="00874AD3"/>
    <w:rsid w:val="00875BE9"/>
    <w:rsid w:val="008761B5"/>
    <w:rsid w:val="00877263"/>
    <w:rsid w:val="008779DA"/>
    <w:rsid w:val="00877AA2"/>
    <w:rsid w:val="00877AB6"/>
    <w:rsid w:val="00880056"/>
    <w:rsid w:val="008802DB"/>
    <w:rsid w:val="00880856"/>
    <w:rsid w:val="00881733"/>
    <w:rsid w:val="00882448"/>
    <w:rsid w:val="008827E7"/>
    <w:rsid w:val="00882CE5"/>
    <w:rsid w:val="0088307B"/>
    <w:rsid w:val="00883A36"/>
    <w:rsid w:val="00883EFC"/>
    <w:rsid w:val="00884356"/>
    <w:rsid w:val="0088496D"/>
    <w:rsid w:val="00884CF9"/>
    <w:rsid w:val="00884DAC"/>
    <w:rsid w:val="0088540A"/>
    <w:rsid w:val="00885DF2"/>
    <w:rsid w:val="008868BD"/>
    <w:rsid w:val="00886ACE"/>
    <w:rsid w:val="00886ECC"/>
    <w:rsid w:val="0088733F"/>
    <w:rsid w:val="00887EAF"/>
    <w:rsid w:val="00887FEF"/>
    <w:rsid w:val="00890684"/>
    <w:rsid w:val="00890869"/>
    <w:rsid w:val="00890E69"/>
    <w:rsid w:val="00891C0A"/>
    <w:rsid w:val="00892358"/>
    <w:rsid w:val="00892CE9"/>
    <w:rsid w:val="0089513F"/>
    <w:rsid w:val="00896402"/>
    <w:rsid w:val="008966D6"/>
    <w:rsid w:val="0089705A"/>
    <w:rsid w:val="0089720D"/>
    <w:rsid w:val="008A0E92"/>
    <w:rsid w:val="008A1EB5"/>
    <w:rsid w:val="008A20F1"/>
    <w:rsid w:val="008A23DA"/>
    <w:rsid w:val="008A2757"/>
    <w:rsid w:val="008A37EC"/>
    <w:rsid w:val="008A38BE"/>
    <w:rsid w:val="008A3AB9"/>
    <w:rsid w:val="008A3B20"/>
    <w:rsid w:val="008A3BD8"/>
    <w:rsid w:val="008A3E3B"/>
    <w:rsid w:val="008A5D40"/>
    <w:rsid w:val="008A6743"/>
    <w:rsid w:val="008B0B90"/>
    <w:rsid w:val="008B155B"/>
    <w:rsid w:val="008B16B3"/>
    <w:rsid w:val="008B2A25"/>
    <w:rsid w:val="008B2DB7"/>
    <w:rsid w:val="008B38C9"/>
    <w:rsid w:val="008B3BF1"/>
    <w:rsid w:val="008B57CD"/>
    <w:rsid w:val="008B6771"/>
    <w:rsid w:val="008B690B"/>
    <w:rsid w:val="008B7370"/>
    <w:rsid w:val="008B73C2"/>
    <w:rsid w:val="008B7565"/>
    <w:rsid w:val="008C010B"/>
    <w:rsid w:val="008C0AA5"/>
    <w:rsid w:val="008C10C2"/>
    <w:rsid w:val="008C1360"/>
    <w:rsid w:val="008C18EB"/>
    <w:rsid w:val="008C2698"/>
    <w:rsid w:val="008C27E3"/>
    <w:rsid w:val="008C28DC"/>
    <w:rsid w:val="008C432E"/>
    <w:rsid w:val="008C4D0E"/>
    <w:rsid w:val="008C56A2"/>
    <w:rsid w:val="008C583D"/>
    <w:rsid w:val="008C5BF6"/>
    <w:rsid w:val="008C60B8"/>
    <w:rsid w:val="008C6F6A"/>
    <w:rsid w:val="008C72A2"/>
    <w:rsid w:val="008C7381"/>
    <w:rsid w:val="008C7779"/>
    <w:rsid w:val="008D138B"/>
    <w:rsid w:val="008D13ED"/>
    <w:rsid w:val="008D21E2"/>
    <w:rsid w:val="008D4180"/>
    <w:rsid w:val="008D5624"/>
    <w:rsid w:val="008D64D5"/>
    <w:rsid w:val="008D6CF6"/>
    <w:rsid w:val="008D7477"/>
    <w:rsid w:val="008E0580"/>
    <w:rsid w:val="008E07E0"/>
    <w:rsid w:val="008E0B50"/>
    <w:rsid w:val="008E1484"/>
    <w:rsid w:val="008E16C7"/>
    <w:rsid w:val="008E2A79"/>
    <w:rsid w:val="008E2DB3"/>
    <w:rsid w:val="008E34A1"/>
    <w:rsid w:val="008E3869"/>
    <w:rsid w:val="008E3AEF"/>
    <w:rsid w:val="008E3BEB"/>
    <w:rsid w:val="008E52C9"/>
    <w:rsid w:val="008E6029"/>
    <w:rsid w:val="008E61FC"/>
    <w:rsid w:val="008E6CCC"/>
    <w:rsid w:val="008E6DE4"/>
    <w:rsid w:val="008E7C0A"/>
    <w:rsid w:val="008F0B88"/>
    <w:rsid w:val="008F1933"/>
    <w:rsid w:val="008F2627"/>
    <w:rsid w:val="008F2D03"/>
    <w:rsid w:val="008F2E83"/>
    <w:rsid w:val="008F320C"/>
    <w:rsid w:val="008F35EB"/>
    <w:rsid w:val="008F3895"/>
    <w:rsid w:val="008F4101"/>
    <w:rsid w:val="008F5869"/>
    <w:rsid w:val="008F6D9E"/>
    <w:rsid w:val="008F7667"/>
    <w:rsid w:val="008F7D62"/>
    <w:rsid w:val="009000AF"/>
    <w:rsid w:val="00900AE4"/>
    <w:rsid w:val="00900BC8"/>
    <w:rsid w:val="00900D1A"/>
    <w:rsid w:val="00901DCF"/>
    <w:rsid w:val="0090213D"/>
    <w:rsid w:val="0090254E"/>
    <w:rsid w:val="009028BA"/>
    <w:rsid w:val="00902CF3"/>
    <w:rsid w:val="0090307F"/>
    <w:rsid w:val="009030A0"/>
    <w:rsid w:val="00903387"/>
    <w:rsid w:val="00903974"/>
    <w:rsid w:val="00904B46"/>
    <w:rsid w:val="009050DD"/>
    <w:rsid w:val="00906A58"/>
    <w:rsid w:val="00906A8B"/>
    <w:rsid w:val="00906AD3"/>
    <w:rsid w:val="00906FD9"/>
    <w:rsid w:val="0090705C"/>
    <w:rsid w:val="00907C69"/>
    <w:rsid w:val="00910C85"/>
    <w:rsid w:val="0091158E"/>
    <w:rsid w:val="00911AD7"/>
    <w:rsid w:val="00911C35"/>
    <w:rsid w:val="00912152"/>
    <w:rsid w:val="009121B8"/>
    <w:rsid w:val="009126E5"/>
    <w:rsid w:val="00912C7F"/>
    <w:rsid w:val="00912F62"/>
    <w:rsid w:val="0091334A"/>
    <w:rsid w:val="00913BE9"/>
    <w:rsid w:val="00913C47"/>
    <w:rsid w:val="00913FC0"/>
    <w:rsid w:val="009149C6"/>
    <w:rsid w:val="009149DA"/>
    <w:rsid w:val="00915064"/>
    <w:rsid w:val="00915310"/>
    <w:rsid w:val="009159AD"/>
    <w:rsid w:val="00916648"/>
    <w:rsid w:val="009172B7"/>
    <w:rsid w:val="009204DA"/>
    <w:rsid w:val="00922744"/>
    <w:rsid w:val="009231D3"/>
    <w:rsid w:val="0092487B"/>
    <w:rsid w:val="00924C7F"/>
    <w:rsid w:val="00926482"/>
    <w:rsid w:val="009264AF"/>
    <w:rsid w:val="00926978"/>
    <w:rsid w:val="009274A8"/>
    <w:rsid w:val="009307B5"/>
    <w:rsid w:val="00930878"/>
    <w:rsid w:val="00930B2F"/>
    <w:rsid w:val="00930C6B"/>
    <w:rsid w:val="00930F4F"/>
    <w:rsid w:val="00932737"/>
    <w:rsid w:val="00932921"/>
    <w:rsid w:val="009329EF"/>
    <w:rsid w:val="00934716"/>
    <w:rsid w:val="00935683"/>
    <w:rsid w:val="00935712"/>
    <w:rsid w:val="00935785"/>
    <w:rsid w:val="00935A7A"/>
    <w:rsid w:val="00935FDD"/>
    <w:rsid w:val="009360F0"/>
    <w:rsid w:val="009363D5"/>
    <w:rsid w:val="009364CF"/>
    <w:rsid w:val="00937475"/>
    <w:rsid w:val="00937933"/>
    <w:rsid w:val="00937A7E"/>
    <w:rsid w:val="00937FD9"/>
    <w:rsid w:val="009404D6"/>
    <w:rsid w:val="00940569"/>
    <w:rsid w:val="00941429"/>
    <w:rsid w:val="009419D8"/>
    <w:rsid w:val="00941E45"/>
    <w:rsid w:val="009421AE"/>
    <w:rsid w:val="00942272"/>
    <w:rsid w:val="009429DF"/>
    <w:rsid w:val="00943767"/>
    <w:rsid w:val="00943845"/>
    <w:rsid w:val="00943E70"/>
    <w:rsid w:val="00944479"/>
    <w:rsid w:val="009449E4"/>
    <w:rsid w:val="009449F5"/>
    <w:rsid w:val="009459B7"/>
    <w:rsid w:val="00945E47"/>
    <w:rsid w:val="00946C2B"/>
    <w:rsid w:val="009473BE"/>
    <w:rsid w:val="00947BE9"/>
    <w:rsid w:val="00951240"/>
    <w:rsid w:val="0095158C"/>
    <w:rsid w:val="00952251"/>
    <w:rsid w:val="00952A57"/>
    <w:rsid w:val="00953038"/>
    <w:rsid w:val="00953CDA"/>
    <w:rsid w:val="00953FAA"/>
    <w:rsid w:val="0095427E"/>
    <w:rsid w:val="009543C7"/>
    <w:rsid w:val="0095463C"/>
    <w:rsid w:val="00954DBF"/>
    <w:rsid w:val="00955234"/>
    <w:rsid w:val="00956392"/>
    <w:rsid w:val="009570DE"/>
    <w:rsid w:val="00957126"/>
    <w:rsid w:val="009571AB"/>
    <w:rsid w:val="0095797F"/>
    <w:rsid w:val="00957B3C"/>
    <w:rsid w:val="00957D40"/>
    <w:rsid w:val="00960CCA"/>
    <w:rsid w:val="0096140F"/>
    <w:rsid w:val="009615B7"/>
    <w:rsid w:val="0096202C"/>
    <w:rsid w:val="00962C89"/>
    <w:rsid w:val="00962CE3"/>
    <w:rsid w:val="00963262"/>
    <w:rsid w:val="0096416F"/>
    <w:rsid w:val="009646FE"/>
    <w:rsid w:val="00964958"/>
    <w:rsid w:val="00964D13"/>
    <w:rsid w:val="00964FB0"/>
    <w:rsid w:val="00965393"/>
    <w:rsid w:val="009655A9"/>
    <w:rsid w:val="0096672B"/>
    <w:rsid w:val="00966784"/>
    <w:rsid w:val="00966B9E"/>
    <w:rsid w:val="0096711D"/>
    <w:rsid w:val="00967275"/>
    <w:rsid w:val="00967CCC"/>
    <w:rsid w:val="009701C1"/>
    <w:rsid w:val="009703C1"/>
    <w:rsid w:val="00971759"/>
    <w:rsid w:val="00971BB3"/>
    <w:rsid w:val="00971C40"/>
    <w:rsid w:val="009722B2"/>
    <w:rsid w:val="00973416"/>
    <w:rsid w:val="00973544"/>
    <w:rsid w:val="00973988"/>
    <w:rsid w:val="00973B1B"/>
    <w:rsid w:val="009746DD"/>
    <w:rsid w:val="00974CFD"/>
    <w:rsid w:val="00975395"/>
    <w:rsid w:val="00975450"/>
    <w:rsid w:val="00975663"/>
    <w:rsid w:val="00975FD2"/>
    <w:rsid w:val="00976871"/>
    <w:rsid w:val="00977162"/>
    <w:rsid w:val="009775D8"/>
    <w:rsid w:val="00977F73"/>
    <w:rsid w:val="00980B5B"/>
    <w:rsid w:val="00980E87"/>
    <w:rsid w:val="0098116C"/>
    <w:rsid w:val="009825B0"/>
    <w:rsid w:val="00982FBE"/>
    <w:rsid w:val="0098409A"/>
    <w:rsid w:val="00984829"/>
    <w:rsid w:val="009849F5"/>
    <w:rsid w:val="00984A19"/>
    <w:rsid w:val="009858DE"/>
    <w:rsid w:val="009867CD"/>
    <w:rsid w:val="009870E5"/>
    <w:rsid w:val="00987485"/>
    <w:rsid w:val="009877EB"/>
    <w:rsid w:val="00987989"/>
    <w:rsid w:val="00987D11"/>
    <w:rsid w:val="0099014D"/>
    <w:rsid w:val="00991440"/>
    <w:rsid w:val="00991EF3"/>
    <w:rsid w:val="00992B4F"/>
    <w:rsid w:val="00994142"/>
    <w:rsid w:val="009948AB"/>
    <w:rsid w:val="009953B2"/>
    <w:rsid w:val="009956EE"/>
    <w:rsid w:val="00995809"/>
    <w:rsid w:val="0099588C"/>
    <w:rsid w:val="00995A62"/>
    <w:rsid w:val="009962F1"/>
    <w:rsid w:val="00996784"/>
    <w:rsid w:val="009A069F"/>
    <w:rsid w:val="009A0985"/>
    <w:rsid w:val="009A0BE8"/>
    <w:rsid w:val="009A0D83"/>
    <w:rsid w:val="009A1135"/>
    <w:rsid w:val="009A269B"/>
    <w:rsid w:val="009A29E2"/>
    <w:rsid w:val="009A2E27"/>
    <w:rsid w:val="009A386E"/>
    <w:rsid w:val="009A3C2B"/>
    <w:rsid w:val="009A4136"/>
    <w:rsid w:val="009A4369"/>
    <w:rsid w:val="009A50CD"/>
    <w:rsid w:val="009A5462"/>
    <w:rsid w:val="009A6291"/>
    <w:rsid w:val="009A63BF"/>
    <w:rsid w:val="009A7627"/>
    <w:rsid w:val="009B04C7"/>
    <w:rsid w:val="009B1752"/>
    <w:rsid w:val="009B2054"/>
    <w:rsid w:val="009B37FF"/>
    <w:rsid w:val="009B3F50"/>
    <w:rsid w:val="009B477B"/>
    <w:rsid w:val="009B5A41"/>
    <w:rsid w:val="009B5DDD"/>
    <w:rsid w:val="009B69F0"/>
    <w:rsid w:val="009B6A04"/>
    <w:rsid w:val="009C0C3D"/>
    <w:rsid w:val="009C1115"/>
    <w:rsid w:val="009C1596"/>
    <w:rsid w:val="009C16DC"/>
    <w:rsid w:val="009C1793"/>
    <w:rsid w:val="009C25CC"/>
    <w:rsid w:val="009C263B"/>
    <w:rsid w:val="009C28CF"/>
    <w:rsid w:val="009C3C3F"/>
    <w:rsid w:val="009C4061"/>
    <w:rsid w:val="009C44E6"/>
    <w:rsid w:val="009C45E2"/>
    <w:rsid w:val="009C5064"/>
    <w:rsid w:val="009C5195"/>
    <w:rsid w:val="009C5B42"/>
    <w:rsid w:val="009C5BFE"/>
    <w:rsid w:val="009C6339"/>
    <w:rsid w:val="009C6EEF"/>
    <w:rsid w:val="009C7E84"/>
    <w:rsid w:val="009C7EEB"/>
    <w:rsid w:val="009D080A"/>
    <w:rsid w:val="009D0D47"/>
    <w:rsid w:val="009D2528"/>
    <w:rsid w:val="009D25D4"/>
    <w:rsid w:val="009D2C4D"/>
    <w:rsid w:val="009D2F28"/>
    <w:rsid w:val="009D42AF"/>
    <w:rsid w:val="009D50B1"/>
    <w:rsid w:val="009D50F8"/>
    <w:rsid w:val="009D5515"/>
    <w:rsid w:val="009D55D2"/>
    <w:rsid w:val="009D565E"/>
    <w:rsid w:val="009D63EB"/>
    <w:rsid w:val="009D6E17"/>
    <w:rsid w:val="009D6FEF"/>
    <w:rsid w:val="009D74F3"/>
    <w:rsid w:val="009E1B67"/>
    <w:rsid w:val="009E1BAD"/>
    <w:rsid w:val="009E1C2F"/>
    <w:rsid w:val="009E270D"/>
    <w:rsid w:val="009E2926"/>
    <w:rsid w:val="009E2AF0"/>
    <w:rsid w:val="009E2C66"/>
    <w:rsid w:val="009E3532"/>
    <w:rsid w:val="009E552F"/>
    <w:rsid w:val="009E5C19"/>
    <w:rsid w:val="009E61BC"/>
    <w:rsid w:val="009E6A47"/>
    <w:rsid w:val="009F021D"/>
    <w:rsid w:val="009F03FF"/>
    <w:rsid w:val="009F09A6"/>
    <w:rsid w:val="009F0B80"/>
    <w:rsid w:val="009F12A7"/>
    <w:rsid w:val="009F1666"/>
    <w:rsid w:val="009F2490"/>
    <w:rsid w:val="009F269D"/>
    <w:rsid w:val="009F26AB"/>
    <w:rsid w:val="009F3CCA"/>
    <w:rsid w:val="009F416F"/>
    <w:rsid w:val="009F48D3"/>
    <w:rsid w:val="009F53E6"/>
    <w:rsid w:val="009F6151"/>
    <w:rsid w:val="009F6449"/>
    <w:rsid w:val="009F68D8"/>
    <w:rsid w:val="009F6A35"/>
    <w:rsid w:val="009F7577"/>
    <w:rsid w:val="00A0021C"/>
    <w:rsid w:val="00A0024B"/>
    <w:rsid w:val="00A0050D"/>
    <w:rsid w:val="00A00C87"/>
    <w:rsid w:val="00A00D5A"/>
    <w:rsid w:val="00A0243D"/>
    <w:rsid w:val="00A02522"/>
    <w:rsid w:val="00A02758"/>
    <w:rsid w:val="00A0362D"/>
    <w:rsid w:val="00A04278"/>
    <w:rsid w:val="00A04AF1"/>
    <w:rsid w:val="00A04BEB"/>
    <w:rsid w:val="00A04C41"/>
    <w:rsid w:val="00A054FE"/>
    <w:rsid w:val="00A05597"/>
    <w:rsid w:val="00A06380"/>
    <w:rsid w:val="00A0666F"/>
    <w:rsid w:val="00A0686C"/>
    <w:rsid w:val="00A068CD"/>
    <w:rsid w:val="00A073D4"/>
    <w:rsid w:val="00A10E32"/>
    <w:rsid w:val="00A11942"/>
    <w:rsid w:val="00A12D01"/>
    <w:rsid w:val="00A13183"/>
    <w:rsid w:val="00A13C93"/>
    <w:rsid w:val="00A14C4C"/>
    <w:rsid w:val="00A155A3"/>
    <w:rsid w:val="00A158CE"/>
    <w:rsid w:val="00A15AC1"/>
    <w:rsid w:val="00A15FB1"/>
    <w:rsid w:val="00A179F8"/>
    <w:rsid w:val="00A204E1"/>
    <w:rsid w:val="00A21A16"/>
    <w:rsid w:val="00A21DF8"/>
    <w:rsid w:val="00A22A54"/>
    <w:rsid w:val="00A22C42"/>
    <w:rsid w:val="00A23415"/>
    <w:rsid w:val="00A23E06"/>
    <w:rsid w:val="00A240B9"/>
    <w:rsid w:val="00A252BB"/>
    <w:rsid w:val="00A25880"/>
    <w:rsid w:val="00A25C3C"/>
    <w:rsid w:val="00A263CB"/>
    <w:rsid w:val="00A26F11"/>
    <w:rsid w:val="00A27209"/>
    <w:rsid w:val="00A27488"/>
    <w:rsid w:val="00A30226"/>
    <w:rsid w:val="00A30283"/>
    <w:rsid w:val="00A302DE"/>
    <w:rsid w:val="00A31278"/>
    <w:rsid w:val="00A3130B"/>
    <w:rsid w:val="00A32086"/>
    <w:rsid w:val="00A3266E"/>
    <w:rsid w:val="00A3318C"/>
    <w:rsid w:val="00A3365C"/>
    <w:rsid w:val="00A33B2E"/>
    <w:rsid w:val="00A33B93"/>
    <w:rsid w:val="00A342DC"/>
    <w:rsid w:val="00A34D1A"/>
    <w:rsid w:val="00A356EB"/>
    <w:rsid w:val="00A35928"/>
    <w:rsid w:val="00A35DBE"/>
    <w:rsid w:val="00A35E48"/>
    <w:rsid w:val="00A35E59"/>
    <w:rsid w:val="00A37389"/>
    <w:rsid w:val="00A403EC"/>
    <w:rsid w:val="00A404A3"/>
    <w:rsid w:val="00A41B87"/>
    <w:rsid w:val="00A41FC9"/>
    <w:rsid w:val="00A42A4B"/>
    <w:rsid w:val="00A42B53"/>
    <w:rsid w:val="00A45D35"/>
    <w:rsid w:val="00A45E24"/>
    <w:rsid w:val="00A46D50"/>
    <w:rsid w:val="00A474F6"/>
    <w:rsid w:val="00A47AEF"/>
    <w:rsid w:val="00A47E55"/>
    <w:rsid w:val="00A47ED6"/>
    <w:rsid w:val="00A50767"/>
    <w:rsid w:val="00A509CE"/>
    <w:rsid w:val="00A50B5B"/>
    <w:rsid w:val="00A513B0"/>
    <w:rsid w:val="00A5190E"/>
    <w:rsid w:val="00A51B53"/>
    <w:rsid w:val="00A52081"/>
    <w:rsid w:val="00A523E7"/>
    <w:rsid w:val="00A539D2"/>
    <w:rsid w:val="00A5485F"/>
    <w:rsid w:val="00A549AD"/>
    <w:rsid w:val="00A54A7C"/>
    <w:rsid w:val="00A54C81"/>
    <w:rsid w:val="00A54E4F"/>
    <w:rsid w:val="00A55198"/>
    <w:rsid w:val="00A568E5"/>
    <w:rsid w:val="00A56F10"/>
    <w:rsid w:val="00A5726B"/>
    <w:rsid w:val="00A5740C"/>
    <w:rsid w:val="00A575ED"/>
    <w:rsid w:val="00A57B25"/>
    <w:rsid w:val="00A61418"/>
    <w:rsid w:val="00A61C07"/>
    <w:rsid w:val="00A61C83"/>
    <w:rsid w:val="00A62997"/>
    <w:rsid w:val="00A63B88"/>
    <w:rsid w:val="00A63C23"/>
    <w:rsid w:val="00A64093"/>
    <w:rsid w:val="00A6525A"/>
    <w:rsid w:val="00A65543"/>
    <w:rsid w:val="00A65E3A"/>
    <w:rsid w:val="00A66454"/>
    <w:rsid w:val="00A6650D"/>
    <w:rsid w:val="00A66784"/>
    <w:rsid w:val="00A6686F"/>
    <w:rsid w:val="00A66A00"/>
    <w:rsid w:val="00A66DFD"/>
    <w:rsid w:val="00A67C8E"/>
    <w:rsid w:val="00A67CD4"/>
    <w:rsid w:val="00A67E9F"/>
    <w:rsid w:val="00A7028E"/>
    <w:rsid w:val="00A71276"/>
    <w:rsid w:val="00A728FA"/>
    <w:rsid w:val="00A72E83"/>
    <w:rsid w:val="00A730CE"/>
    <w:rsid w:val="00A7362B"/>
    <w:rsid w:val="00A73867"/>
    <w:rsid w:val="00A73D5D"/>
    <w:rsid w:val="00A746F7"/>
    <w:rsid w:val="00A754E3"/>
    <w:rsid w:val="00A75F92"/>
    <w:rsid w:val="00A7618B"/>
    <w:rsid w:val="00A761BF"/>
    <w:rsid w:val="00A76E23"/>
    <w:rsid w:val="00A77E0A"/>
    <w:rsid w:val="00A804EF"/>
    <w:rsid w:val="00A8083B"/>
    <w:rsid w:val="00A81D76"/>
    <w:rsid w:val="00A8213F"/>
    <w:rsid w:val="00A821E8"/>
    <w:rsid w:val="00A8330E"/>
    <w:rsid w:val="00A84779"/>
    <w:rsid w:val="00A84AE2"/>
    <w:rsid w:val="00A85CB0"/>
    <w:rsid w:val="00A85E07"/>
    <w:rsid w:val="00A85E68"/>
    <w:rsid w:val="00A85F14"/>
    <w:rsid w:val="00A860A1"/>
    <w:rsid w:val="00A87713"/>
    <w:rsid w:val="00A90792"/>
    <w:rsid w:val="00A90BB6"/>
    <w:rsid w:val="00A91A96"/>
    <w:rsid w:val="00A91E84"/>
    <w:rsid w:val="00A922A1"/>
    <w:rsid w:val="00A92394"/>
    <w:rsid w:val="00A927F0"/>
    <w:rsid w:val="00A929D4"/>
    <w:rsid w:val="00A92D13"/>
    <w:rsid w:val="00A936B8"/>
    <w:rsid w:val="00A939D2"/>
    <w:rsid w:val="00A94309"/>
    <w:rsid w:val="00A949BB"/>
    <w:rsid w:val="00A94CBC"/>
    <w:rsid w:val="00A94FD6"/>
    <w:rsid w:val="00A95163"/>
    <w:rsid w:val="00A96367"/>
    <w:rsid w:val="00A97E83"/>
    <w:rsid w:val="00AA0A62"/>
    <w:rsid w:val="00AA0DEE"/>
    <w:rsid w:val="00AA1E89"/>
    <w:rsid w:val="00AA2A02"/>
    <w:rsid w:val="00AA35C9"/>
    <w:rsid w:val="00AA4A03"/>
    <w:rsid w:val="00AA6DC9"/>
    <w:rsid w:val="00AA6FCD"/>
    <w:rsid w:val="00AA707C"/>
    <w:rsid w:val="00AA7525"/>
    <w:rsid w:val="00AA7AA0"/>
    <w:rsid w:val="00AA7F96"/>
    <w:rsid w:val="00AB035C"/>
    <w:rsid w:val="00AB074C"/>
    <w:rsid w:val="00AB1639"/>
    <w:rsid w:val="00AB1E1A"/>
    <w:rsid w:val="00AB22D9"/>
    <w:rsid w:val="00AB2DCB"/>
    <w:rsid w:val="00AB35D4"/>
    <w:rsid w:val="00AB3713"/>
    <w:rsid w:val="00AB389E"/>
    <w:rsid w:val="00AB3B4C"/>
    <w:rsid w:val="00AB3B4F"/>
    <w:rsid w:val="00AB3E4D"/>
    <w:rsid w:val="00AB3F4B"/>
    <w:rsid w:val="00AB4250"/>
    <w:rsid w:val="00AB44B8"/>
    <w:rsid w:val="00AB4546"/>
    <w:rsid w:val="00AB4F07"/>
    <w:rsid w:val="00AB522D"/>
    <w:rsid w:val="00AB5F0E"/>
    <w:rsid w:val="00AB61B2"/>
    <w:rsid w:val="00AB6CD3"/>
    <w:rsid w:val="00AB7D27"/>
    <w:rsid w:val="00AB7DED"/>
    <w:rsid w:val="00AC1BA8"/>
    <w:rsid w:val="00AC2127"/>
    <w:rsid w:val="00AC2D70"/>
    <w:rsid w:val="00AC3500"/>
    <w:rsid w:val="00AC39DC"/>
    <w:rsid w:val="00AC4A3B"/>
    <w:rsid w:val="00AC4D5D"/>
    <w:rsid w:val="00AC4E40"/>
    <w:rsid w:val="00AC65BC"/>
    <w:rsid w:val="00AC6796"/>
    <w:rsid w:val="00AC6BF8"/>
    <w:rsid w:val="00AC6CBF"/>
    <w:rsid w:val="00AC6D1F"/>
    <w:rsid w:val="00AC70C5"/>
    <w:rsid w:val="00AC7457"/>
    <w:rsid w:val="00AC757C"/>
    <w:rsid w:val="00AC7A54"/>
    <w:rsid w:val="00AD0EAF"/>
    <w:rsid w:val="00AD2204"/>
    <w:rsid w:val="00AD24E2"/>
    <w:rsid w:val="00AD2AF0"/>
    <w:rsid w:val="00AD2ECA"/>
    <w:rsid w:val="00AD32C1"/>
    <w:rsid w:val="00AD33C2"/>
    <w:rsid w:val="00AD3581"/>
    <w:rsid w:val="00AD3769"/>
    <w:rsid w:val="00AD3ABF"/>
    <w:rsid w:val="00AD3EEA"/>
    <w:rsid w:val="00AD4493"/>
    <w:rsid w:val="00AD4CC7"/>
    <w:rsid w:val="00AD53BA"/>
    <w:rsid w:val="00AD6609"/>
    <w:rsid w:val="00AD66F6"/>
    <w:rsid w:val="00AD690B"/>
    <w:rsid w:val="00AD74A1"/>
    <w:rsid w:val="00AD7584"/>
    <w:rsid w:val="00AD7A6A"/>
    <w:rsid w:val="00AE0016"/>
    <w:rsid w:val="00AE10CB"/>
    <w:rsid w:val="00AE1984"/>
    <w:rsid w:val="00AE1EBF"/>
    <w:rsid w:val="00AE1F5A"/>
    <w:rsid w:val="00AE25F5"/>
    <w:rsid w:val="00AE26A6"/>
    <w:rsid w:val="00AE317D"/>
    <w:rsid w:val="00AE3972"/>
    <w:rsid w:val="00AE3A7E"/>
    <w:rsid w:val="00AE4FED"/>
    <w:rsid w:val="00AE5901"/>
    <w:rsid w:val="00AE5F0D"/>
    <w:rsid w:val="00AE62E1"/>
    <w:rsid w:val="00AE7A4F"/>
    <w:rsid w:val="00AE7E8D"/>
    <w:rsid w:val="00AF06F0"/>
    <w:rsid w:val="00AF0BC2"/>
    <w:rsid w:val="00AF0E76"/>
    <w:rsid w:val="00AF170A"/>
    <w:rsid w:val="00AF1BDC"/>
    <w:rsid w:val="00AF1E0E"/>
    <w:rsid w:val="00AF1E47"/>
    <w:rsid w:val="00AF24BA"/>
    <w:rsid w:val="00AF255B"/>
    <w:rsid w:val="00AF2B07"/>
    <w:rsid w:val="00AF3AED"/>
    <w:rsid w:val="00AF3C42"/>
    <w:rsid w:val="00AF3F62"/>
    <w:rsid w:val="00AF4164"/>
    <w:rsid w:val="00AF43E4"/>
    <w:rsid w:val="00AF45F6"/>
    <w:rsid w:val="00AF4D36"/>
    <w:rsid w:val="00AF5B2F"/>
    <w:rsid w:val="00AF6727"/>
    <w:rsid w:val="00AF6CEC"/>
    <w:rsid w:val="00AF7E69"/>
    <w:rsid w:val="00AF7EEC"/>
    <w:rsid w:val="00B008AF"/>
    <w:rsid w:val="00B00E05"/>
    <w:rsid w:val="00B01043"/>
    <w:rsid w:val="00B016EB"/>
    <w:rsid w:val="00B01757"/>
    <w:rsid w:val="00B01833"/>
    <w:rsid w:val="00B02470"/>
    <w:rsid w:val="00B02742"/>
    <w:rsid w:val="00B029D1"/>
    <w:rsid w:val="00B0340A"/>
    <w:rsid w:val="00B036FE"/>
    <w:rsid w:val="00B039E1"/>
    <w:rsid w:val="00B03EA0"/>
    <w:rsid w:val="00B040E8"/>
    <w:rsid w:val="00B05497"/>
    <w:rsid w:val="00B06040"/>
    <w:rsid w:val="00B06148"/>
    <w:rsid w:val="00B0709D"/>
    <w:rsid w:val="00B0732D"/>
    <w:rsid w:val="00B07E46"/>
    <w:rsid w:val="00B07F5F"/>
    <w:rsid w:val="00B10411"/>
    <w:rsid w:val="00B10CC0"/>
    <w:rsid w:val="00B10E8F"/>
    <w:rsid w:val="00B113C3"/>
    <w:rsid w:val="00B116DF"/>
    <w:rsid w:val="00B11882"/>
    <w:rsid w:val="00B11EB7"/>
    <w:rsid w:val="00B12081"/>
    <w:rsid w:val="00B12426"/>
    <w:rsid w:val="00B12911"/>
    <w:rsid w:val="00B12AD3"/>
    <w:rsid w:val="00B12D44"/>
    <w:rsid w:val="00B1308C"/>
    <w:rsid w:val="00B13B10"/>
    <w:rsid w:val="00B13DE7"/>
    <w:rsid w:val="00B13F90"/>
    <w:rsid w:val="00B14CD5"/>
    <w:rsid w:val="00B156A9"/>
    <w:rsid w:val="00B15779"/>
    <w:rsid w:val="00B15B37"/>
    <w:rsid w:val="00B16965"/>
    <w:rsid w:val="00B16C38"/>
    <w:rsid w:val="00B16D3E"/>
    <w:rsid w:val="00B16F8A"/>
    <w:rsid w:val="00B1721A"/>
    <w:rsid w:val="00B203DE"/>
    <w:rsid w:val="00B20B24"/>
    <w:rsid w:val="00B20FA7"/>
    <w:rsid w:val="00B2104C"/>
    <w:rsid w:val="00B215A0"/>
    <w:rsid w:val="00B21795"/>
    <w:rsid w:val="00B21AE4"/>
    <w:rsid w:val="00B22483"/>
    <w:rsid w:val="00B23C49"/>
    <w:rsid w:val="00B240D1"/>
    <w:rsid w:val="00B245B0"/>
    <w:rsid w:val="00B24ABE"/>
    <w:rsid w:val="00B2527D"/>
    <w:rsid w:val="00B2556D"/>
    <w:rsid w:val="00B25A53"/>
    <w:rsid w:val="00B26003"/>
    <w:rsid w:val="00B26C22"/>
    <w:rsid w:val="00B27ACD"/>
    <w:rsid w:val="00B301F2"/>
    <w:rsid w:val="00B30424"/>
    <w:rsid w:val="00B3058E"/>
    <w:rsid w:val="00B30E60"/>
    <w:rsid w:val="00B310CC"/>
    <w:rsid w:val="00B3167B"/>
    <w:rsid w:val="00B31696"/>
    <w:rsid w:val="00B32DA8"/>
    <w:rsid w:val="00B335CE"/>
    <w:rsid w:val="00B33EE5"/>
    <w:rsid w:val="00B33F73"/>
    <w:rsid w:val="00B341E0"/>
    <w:rsid w:val="00B343ED"/>
    <w:rsid w:val="00B34C0A"/>
    <w:rsid w:val="00B34EFE"/>
    <w:rsid w:val="00B35101"/>
    <w:rsid w:val="00B3529E"/>
    <w:rsid w:val="00B355E0"/>
    <w:rsid w:val="00B356B3"/>
    <w:rsid w:val="00B35D8C"/>
    <w:rsid w:val="00B35E75"/>
    <w:rsid w:val="00B37445"/>
    <w:rsid w:val="00B37D0A"/>
    <w:rsid w:val="00B40445"/>
    <w:rsid w:val="00B408FE"/>
    <w:rsid w:val="00B41273"/>
    <w:rsid w:val="00B4266C"/>
    <w:rsid w:val="00B42829"/>
    <w:rsid w:val="00B42DD7"/>
    <w:rsid w:val="00B42FAF"/>
    <w:rsid w:val="00B43665"/>
    <w:rsid w:val="00B447E1"/>
    <w:rsid w:val="00B44C3B"/>
    <w:rsid w:val="00B44E45"/>
    <w:rsid w:val="00B45254"/>
    <w:rsid w:val="00B45745"/>
    <w:rsid w:val="00B45D05"/>
    <w:rsid w:val="00B46236"/>
    <w:rsid w:val="00B46521"/>
    <w:rsid w:val="00B466F0"/>
    <w:rsid w:val="00B469B1"/>
    <w:rsid w:val="00B47F46"/>
    <w:rsid w:val="00B5043E"/>
    <w:rsid w:val="00B510B2"/>
    <w:rsid w:val="00B51A30"/>
    <w:rsid w:val="00B52B5C"/>
    <w:rsid w:val="00B54983"/>
    <w:rsid w:val="00B54BB9"/>
    <w:rsid w:val="00B54F1E"/>
    <w:rsid w:val="00B55FDA"/>
    <w:rsid w:val="00B56BDE"/>
    <w:rsid w:val="00B57087"/>
    <w:rsid w:val="00B578C9"/>
    <w:rsid w:val="00B60179"/>
    <w:rsid w:val="00B60641"/>
    <w:rsid w:val="00B6080A"/>
    <w:rsid w:val="00B60F98"/>
    <w:rsid w:val="00B61465"/>
    <w:rsid w:val="00B61550"/>
    <w:rsid w:val="00B61B4E"/>
    <w:rsid w:val="00B6262F"/>
    <w:rsid w:val="00B63666"/>
    <w:rsid w:val="00B63D70"/>
    <w:rsid w:val="00B6489E"/>
    <w:rsid w:val="00B65BBC"/>
    <w:rsid w:val="00B7062B"/>
    <w:rsid w:val="00B70A6A"/>
    <w:rsid w:val="00B71547"/>
    <w:rsid w:val="00B726D1"/>
    <w:rsid w:val="00B72BDF"/>
    <w:rsid w:val="00B73762"/>
    <w:rsid w:val="00B7380B"/>
    <w:rsid w:val="00B73B5A"/>
    <w:rsid w:val="00B73E1E"/>
    <w:rsid w:val="00B75231"/>
    <w:rsid w:val="00B75A6A"/>
    <w:rsid w:val="00B76F3D"/>
    <w:rsid w:val="00B771BC"/>
    <w:rsid w:val="00B7787F"/>
    <w:rsid w:val="00B77C91"/>
    <w:rsid w:val="00B806B5"/>
    <w:rsid w:val="00B80798"/>
    <w:rsid w:val="00B81806"/>
    <w:rsid w:val="00B819A0"/>
    <w:rsid w:val="00B819E5"/>
    <w:rsid w:val="00B824F1"/>
    <w:rsid w:val="00B826EC"/>
    <w:rsid w:val="00B832D6"/>
    <w:rsid w:val="00B83796"/>
    <w:rsid w:val="00B83D15"/>
    <w:rsid w:val="00B83D99"/>
    <w:rsid w:val="00B847B7"/>
    <w:rsid w:val="00B84BEC"/>
    <w:rsid w:val="00B84C67"/>
    <w:rsid w:val="00B84F0B"/>
    <w:rsid w:val="00B84F48"/>
    <w:rsid w:val="00B87E53"/>
    <w:rsid w:val="00B87F59"/>
    <w:rsid w:val="00B9015D"/>
    <w:rsid w:val="00B90577"/>
    <w:rsid w:val="00B90E5D"/>
    <w:rsid w:val="00B90F8D"/>
    <w:rsid w:val="00B91083"/>
    <w:rsid w:val="00B91354"/>
    <w:rsid w:val="00B91496"/>
    <w:rsid w:val="00B91669"/>
    <w:rsid w:val="00B91856"/>
    <w:rsid w:val="00B928F5"/>
    <w:rsid w:val="00B929CC"/>
    <w:rsid w:val="00B92B55"/>
    <w:rsid w:val="00B9309A"/>
    <w:rsid w:val="00B938A4"/>
    <w:rsid w:val="00B93D70"/>
    <w:rsid w:val="00B941D2"/>
    <w:rsid w:val="00B9594D"/>
    <w:rsid w:val="00B95E9D"/>
    <w:rsid w:val="00B96C7A"/>
    <w:rsid w:val="00B96FDE"/>
    <w:rsid w:val="00B97267"/>
    <w:rsid w:val="00B977BB"/>
    <w:rsid w:val="00B97D99"/>
    <w:rsid w:val="00B97DAE"/>
    <w:rsid w:val="00B97E8A"/>
    <w:rsid w:val="00BA051B"/>
    <w:rsid w:val="00BA0F4B"/>
    <w:rsid w:val="00BA1041"/>
    <w:rsid w:val="00BA1862"/>
    <w:rsid w:val="00BA26CD"/>
    <w:rsid w:val="00BA28EA"/>
    <w:rsid w:val="00BA2D54"/>
    <w:rsid w:val="00BA3DC5"/>
    <w:rsid w:val="00BA4A39"/>
    <w:rsid w:val="00BA4E4C"/>
    <w:rsid w:val="00BA4FB1"/>
    <w:rsid w:val="00BA5F87"/>
    <w:rsid w:val="00BA697B"/>
    <w:rsid w:val="00BA7CD4"/>
    <w:rsid w:val="00BA7F42"/>
    <w:rsid w:val="00BB0050"/>
    <w:rsid w:val="00BB08BC"/>
    <w:rsid w:val="00BB38AA"/>
    <w:rsid w:val="00BB38DC"/>
    <w:rsid w:val="00BB46E0"/>
    <w:rsid w:val="00BB4A14"/>
    <w:rsid w:val="00BB529E"/>
    <w:rsid w:val="00BB52E5"/>
    <w:rsid w:val="00BB64BC"/>
    <w:rsid w:val="00BB6B18"/>
    <w:rsid w:val="00BB7067"/>
    <w:rsid w:val="00BB709C"/>
    <w:rsid w:val="00BB717C"/>
    <w:rsid w:val="00BB72BE"/>
    <w:rsid w:val="00BB775F"/>
    <w:rsid w:val="00BB7A7E"/>
    <w:rsid w:val="00BC1214"/>
    <w:rsid w:val="00BC170A"/>
    <w:rsid w:val="00BC2732"/>
    <w:rsid w:val="00BC2EA2"/>
    <w:rsid w:val="00BC4084"/>
    <w:rsid w:val="00BC4715"/>
    <w:rsid w:val="00BC668C"/>
    <w:rsid w:val="00BC6EC2"/>
    <w:rsid w:val="00BC7C37"/>
    <w:rsid w:val="00BC7C4D"/>
    <w:rsid w:val="00BC7E27"/>
    <w:rsid w:val="00BD0277"/>
    <w:rsid w:val="00BD0868"/>
    <w:rsid w:val="00BD10DD"/>
    <w:rsid w:val="00BD18AD"/>
    <w:rsid w:val="00BD21FE"/>
    <w:rsid w:val="00BD5864"/>
    <w:rsid w:val="00BD5945"/>
    <w:rsid w:val="00BD60DE"/>
    <w:rsid w:val="00BD6CAE"/>
    <w:rsid w:val="00BD74E9"/>
    <w:rsid w:val="00BE00D6"/>
    <w:rsid w:val="00BE08C6"/>
    <w:rsid w:val="00BE0EFD"/>
    <w:rsid w:val="00BE0F6E"/>
    <w:rsid w:val="00BE1626"/>
    <w:rsid w:val="00BE191F"/>
    <w:rsid w:val="00BE1B08"/>
    <w:rsid w:val="00BE20D0"/>
    <w:rsid w:val="00BE218D"/>
    <w:rsid w:val="00BE2A1C"/>
    <w:rsid w:val="00BE3443"/>
    <w:rsid w:val="00BE35E6"/>
    <w:rsid w:val="00BE3E6C"/>
    <w:rsid w:val="00BE610C"/>
    <w:rsid w:val="00BE61B0"/>
    <w:rsid w:val="00BE6759"/>
    <w:rsid w:val="00BE6A20"/>
    <w:rsid w:val="00BE6E13"/>
    <w:rsid w:val="00BE7553"/>
    <w:rsid w:val="00BE7E82"/>
    <w:rsid w:val="00BF0664"/>
    <w:rsid w:val="00BF0815"/>
    <w:rsid w:val="00BF108E"/>
    <w:rsid w:val="00BF10C4"/>
    <w:rsid w:val="00BF1332"/>
    <w:rsid w:val="00BF1B49"/>
    <w:rsid w:val="00BF34B9"/>
    <w:rsid w:val="00BF3685"/>
    <w:rsid w:val="00BF36B2"/>
    <w:rsid w:val="00BF3F8E"/>
    <w:rsid w:val="00BF4991"/>
    <w:rsid w:val="00BF4AA2"/>
    <w:rsid w:val="00BF5D9A"/>
    <w:rsid w:val="00BF640A"/>
    <w:rsid w:val="00BF6883"/>
    <w:rsid w:val="00BF724C"/>
    <w:rsid w:val="00C0048C"/>
    <w:rsid w:val="00C004FF"/>
    <w:rsid w:val="00C0064C"/>
    <w:rsid w:val="00C00FE9"/>
    <w:rsid w:val="00C02314"/>
    <w:rsid w:val="00C02E47"/>
    <w:rsid w:val="00C0310C"/>
    <w:rsid w:val="00C03340"/>
    <w:rsid w:val="00C04056"/>
    <w:rsid w:val="00C04794"/>
    <w:rsid w:val="00C04A84"/>
    <w:rsid w:val="00C05028"/>
    <w:rsid w:val="00C05635"/>
    <w:rsid w:val="00C058CA"/>
    <w:rsid w:val="00C05A61"/>
    <w:rsid w:val="00C05F7A"/>
    <w:rsid w:val="00C0682D"/>
    <w:rsid w:val="00C07153"/>
    <w:rsid w:val="00C07604"/>
    <w:rsid w:val="00C07AA4"/>
    <w:rsid w:val="00C07D55"/>
    <w:rsid w:val="00C11B08"/>
    <w:rsid w:val="00C12B1D"/>
    <w:rsid w:val="00C1309C"/>
    <w:rsid w:val="00C135FD"/>
    <w:rsid w:val="00C13813"/>
    <w:rsid w:val="00C1382D"/>
    <w:rsid w:val="00C13A87"/>
    <w:rsid w:val="00C14C57"/>
    <w:rsid w:val="00C14EC7"/>
    <w:rsid w:val="00C16E38"/>
    <w:rsid w:val="00C17304"/>
    <w:rsid w:val="00C174FC"/>
    <w:rsid w:val="00C17569"/>
    <w:rsid w:val="00C2137D"/>
    <w:rsid w:val="00C21B38"/>
    <w:rsid w:val="00C21B5E"/>
    <w:rsid w:val="00C21EFA"/>
    <w:rsid w:val="00C22473"/>
    <w:rsid w:val="00C2334C"/>
    <w:rsid w:val="00C24384"/>
    <w:rsid w:val="00C24631"/>
    <w:rsid w:val="00C248A4"/>
    <w:rsid w:val="00C24E71"/>
    <w:rsid w:val="00C257B1"/>
    <w:rsid w:val="00C25CE0"/>
    <w:rsid w:val="00C25E02"/>
    <w:rsid w:val="00C25F3C"/>
    <w:rsid w:val="00C25FE6"/>
    <w:rsid w:val="00C27201"/>
    <w:rsid w:val="00C27A74"/>
    <w:rsid w:val="00C3017E"/>
    <w:rsid w:val="00C30C10"/>
    <w:rsid w:val="00C3136C"/>
    <w:rsid w:val="00C31734"/>
    <w:rsid w:val="00C329F4"/>
    <w:rsid w:val="00C329F7"/>
    <w:rsid w:val="00C33E39"/>
    <w:rsid w:val="00C3468A"/>
    <w:rsid w:val="00C3468B"/>
    <w:rsid w:val="00C34E23"/>
    <w:rsid w:val="00C35DB9"/>
    <w:rsid w:val="00C3698A"/>
    <w:rsid w:val="00C36B8B"/>
    <w:rsid w:val="00C377B2"/>
    <w:rsid w:val="00C37815"/>
    <w:rsid w:val="00C4040F"/>
    <w:rsid w:val="00C40773"/>
    <w:rsid w:val="00C40D8A"/>
    <w:rsid w:val="00C41D4B"/>
    <w:rsid w:val="00C42183"/>
    <w:rsid w:val="00C42B87"/>
    <w:rsid w:val="00C42B98"/>
    <w:rsid w:val="00C4390F"/>
    <w:rsid w:val="00C44750"/>
    <w:rsid w:val="00C44AED"/>
    <w:rsid w:val="00C44CF3"/>
    <w:rsid w:val="00C44D66"/>
    <w:rsid w:val="00C461DB"/>
    <w:rsid w:val="00C463FA"/>
    <w:rsid w:val="00C50B4A"/>
    <w:rsid w:val="00C51643"/>
    <w:rsid w:val="00C516EA"/>
    <w:rsid w:val="00C51793"/>
    <w:rsid w:val="00C52789"/>
    <w:rsid w:val="00C53574"/>
    <w:rsid w:val="00C5367C"/>
    <w:rsid w:val="00C542A0"/>
    <w:rsid w:val="00C5480C"/>
    <w:rsid w:val="00C54E6C"/>
    <w:rsid w:val="00C553CA"/>
    <w:rsid w:val="00C556D4"/>
    <w:rsid w:val="00C557CF"/>
    <w:rsid w:val="00C56324"/>
    <w:rsid w:val="00C564CF"/>
    <w:rsid w:val="00C5653E"/>
    <w:rsid w:val="00C566C6"/>
    <w:rsid w:val="00C56C99"/>
    <w:rsid w:val="00C56D00"/>
    <w:rsid w:val="00C57A9F"/>
    <w:rsid w:val="00C60016"/>
    <w:rsid w:val="00C60B81"/>
    <w:rsid w:val="00C610E3"/>
    <w:rsid w:val="00C61AC2"/>
    <w:rsid w:val="00C61C71"/>
    <w:rsid w:val="00C61F57"/>
    <w:rsid w:val="00C63C43"/>
    <w:rsid w:val="00C64672"/>
    <w:rsid w:val="00C65656"/>
    <w:rsid w:val="00C65FC0"/>
    <w:rsid w:val="00C701A5"/>
    <w:rsid w:val="00C704B7"/>
    <w:rsid w:val="00C706F0"/>
    <w:rsid w:val="00C720BE"/>
    <w:rsid w:val="00C72927"/>
    <w:rsid w:val="00C72A84"/>
    <w:rsid w:val="00C73A91"/>
    <w:rsid w:val="00C74E08"/>
    <w:rsid w:val="00C752EF"/>
    <w:rsid w:val="00C76A36"/>
    <w:rsid w:val="00C773A1"/>
    <w:rsid w:val="00C809BC"/>
    <w:rsid w:val="00C80E93"/>
    <w:rsid w:val="00C81214"/>
    <w:rsid w:val="00C8144D"/>
    <w:rsid w:val="00C8164F"/>
    <w:rsid w:val="00C81AD0"/>
    <w:rsid w:val="00C81EA2"/>
    <w:rsid w:val="00C82094"/>
    <w:rsid w:val="00C82097"/>
    <w:rsid w:val="00C82B91"/>
    <w:rsid w:val="00C833AF"/>
    <w:rsid w:val="00C83FB8"/>
    <w:rsid w:val="00C84152"/>
    <w:rsid w:val="00C84B35"/>
    <w:rsid w:val="00C84EBF"/>
    <w:rsid w:val="00C84FB7"/>
    <w:rsid w:val="00C85078"/>
    <w:rsid w:val="00C8530E"/>
    <w:rsid w:val="00C8557C"/>
    <w:rsid w:val="00C868C2"/>
    <w:rsid w:val="00C86C12"/>
    <w:rsid w:val="00C870C0"/>
    <w:rsid w:val="00C875C6"/>
    <w:rsid w:val="00C877AB"/>
    <w:rsid w:val="00C87C5F"/>
    <w:rsid w:val="00C9000E"/>
    <w:rsid w:val="00C90099"/>
    <w:rsid w:val="00C90131"/>
    <w:rsid w:val="00C9103F"/>
    <w:rsid w:val="00C917A9"/>
    <w:rsid w:val="00C919AA"/>
    <w:rsid w:val="00C92009"/>
    <w:rsid w:val="00C92CEE"/>
    <w:rsid w:val="00C92DF4"/>
    <w:rsid w:val="00C9385A"/>
    <w:rsid w:val="00C94B15"/>
    <w:rsid w:val="00C95D02"/>
    <w:rsid w:val="00C97659"/>
    <w:rsid w:val="00C97B84"/>
    <w:rsid w:val="00CA0862"/>
    <w:rsid w:val="00CA096E"/>
    <w:rsid w:val="00CA0A00"/>
    <w:rsid w:val="00CA2FB2"/>
    <w:rsid w:val="00CA5094"/>
    <w:rsid w:val="00CA5DC2"/>
    <w:rsid w:val="00CA65D6"/>
    <w:rsid w:val="00CA6A1C"/>
    <w:rsid w:val="00CA70B4"/>
    <w:rsid w:val="00CA7747"/>
    <w:rsid w:val="00CA79C7"/>
    <w:rsid w:val="00CA7A34"/>
    <w:rsid w:val="00CA7ED3"/>
    <w:rsid w:val="00CB0568"/>
    <w:rsid w:val="00CB1138"/>
    <w:rsid w:val="00CB11FA"/>
    <w:rsid w:val="00CB143E"/>
    <w:rsid w:val="00CB1977"/>
    <w:rsid w:val="00CB2A95"/>
    <w:rsid w:val="00CB2ADC"/>
    <w:rsid w:val="00CB2F4A"/>
    <w:rsid w:val="00CB31AE"/>
    <w:rsid w:val="00CB37C1"/>
    <w:rsid w:val="00CB406A"/>
    <w:rsid w:val="00CB47C3"/>
    <w:rsid w:val="00CB71E4"/>
    <w:rsid w:val="00CB7608"/>
    <w:rsid w:val="00CB7892"/>
    <w:rsid w:val="00CC050B"/>
    <w:rsid w:val="00CC0690"/>
    <w:rsid w:val="00CC0F71"/>
    <w:rsid w:val="00CC28F3"/>
    <w:rsid w:val="00CC2C76"/>
    <w:rsid w:val="00CC3091"/>
    <w:rsid w:val="00CC34BD"/>
    <w:rsid w:val="00CC3A9F"/>
    <w:rsid w:val="00CC3DC4"/>
    <w:rsid w:val="00CC4351"/>
    <w:rsid w:val="00CC60B2"/>
    <w:rsid w:val="00CC62F0"/>
    <w:rsid w:val="00CC658F"/>
    <w:rsid w:val="00CC6688"/>
    <w:rsid w:val="00CC7969"/>
    <w:rsid w:val="00CC7E30"/>
    <w:rsid w:val="00CD04E8"/>
    <w:rsid w:val="00CD0724"/>
    <w:rsid w:val="00CD0795"/>
    <w:rsid w:val="00CD0D7E"/>
    <w:rsid w:val="00CD14A6"/>
    <w:rsid w:val="00CD24A4"/>
    <w:rsid w:val="00CD2576"/>
    <w:rsid w:val="00CD278F"/>
    <w:rsid w:val="00CD2EB1"/>
    <w:rsid w:val="00CD332D"/>
    <w:rsid w:val="00CD380E"/>
    <w:rsid w:val="00CD3C4C"/>
    <w:rsid w:val="00CD460E"/>
    <w:rsid w:val="00CD470C"/>
    <w:rsid w:val="00CD4E64"/>
    <w:rsid w:val="00CD5CE4"/>
    <w:rsid w:val="00CD65A6"/>
    <w:rsid w:val="00CD693B"/>
    <w:rsid w:val="00CD7BCB"/>
    <w:rsid w:val="00CE0014"/>
    <w:rsid w:val="00CE022F"/>
    <w:rsid w:val="00CE08DD"/>
    <w:rsid w:val="00CE210C"/>
    <w:rsid w:val="00CE265B"/>
    <w:rsid w:val="00CE27EE"/>
    <w:rsid w:val="00CE2ADA"/>
    <w:rsid w:val="00CE3294"/>
    <w:rsid w:val="00CE389B"/>
    <w:rsid w:val="00CE3C3F"/>
    <w:rsid w:val="00CE480B"/>
    <w:rsid w:val="00CE4CBB"/>
    <w:rsid w:val="00CE5C99"/>
    <w:rsid w:val="00CE72AF"/>
    <w:rsid w:val="00CE7E51"/>
    <w:rsid w:val="00CF02B8"/>
    <w:rsid w:val="00CF038B"/>
    <w:rsid w:val="00CF07AF"/>
    <w:rsid w:val="00CF09E9"/>
    <w:rsid w:val="00CF1542"/>
    <w:rsid w:val="00CF16E7"/>
    <w:rsid w:val="00CF1F00"/>
    <w:rsid w:val="00CF3B55"/>
    <w:rsid w:val="00CF403C"/>
    <w:rsid w:val="00CF431D"/>
    <w:rsid w:val="00CF46BA"/>
    <w:rsid w:val="00CF490C"/>
    <w:rsid w:val="00CF5A61"/>
    <w:rsid w:val="00CF6206"/>
    <w:rsid w:val="00CF63F7"/>
    <w:rsid w:val="00CF68D7"/>
    <w:rsid w:val="00CF6E73"/>
    <w:rsid w:val="00CF7300"/>
    <w:rsid w:val="00CF73AD"/>
    <w:rsid w:val="00CF74E0"/>
    <w:rsid w:val="00D0066F"/>
    <w:rsid w:val="00D00B55"/>
    <w:rsid w:val="00D01171"/>
    <w:rsid w:val="00D022D9"/>
    <w:rsid w:val="00D028D3"/>
    <w:rsid w:val="00D02A7B"/>
    <w:rsid w:val="00D02ADD"/>
    <w:rsid w:val="00D02DA1"/>
    <w:rsid w:val="00D047D6"/>
    <w:rsid w:val="00D04955"/>
    <w:rsid w:val="00D04D87"/>
    <w:rsid w:val="00D0532F"/>
    <w:rsid w:val="00D0540D"/>
    <w:rsid w:val="00D056CB"/>
    <w:rsid w:val="00D05B5B"/>
    <w:rsid w:val="00D060EB"/>
    <w:rsid w:val="00D06827"/>
    <w:rsid w:val="00D11781"/>
    <w:rsid w:val="00D11ADD"/>
    <w:rsid w:val="00D11C55"/>
    <w:rsid w:val="00D12AF0"/>
    <w:rsid w:val="00D13423"/>
    <w:rsid w:val="00D14300"/>
    <w:rsid w:val="00D14315"/>
    <w:rsid w:val="00D1534A"/>
    <w:rsid w:val="00D158FA"/>
    <w:rsid w:val="00D15B9A"/>
    <w:rsid w:val="00D1627F"/>
    <w:rsid w:val="00D16640"/>
    <w:rsid w:val="00D17022"/>
    <w:rsid w:val="00D17F4F"/>
    <w:rsid w:val="00D20ED5"/>
    <w:rsid w:val="00D213C0"/>
    <w:rsid w:val="00D21F88"/>
    <w:rsid w:val="00D22AC6"/>
    <w:rsid w:val="00D22B0B"/>
    <w:rsid w:val="00D2567B"/>
    <w:rsid w:val="00D25C29"/>
    <w:rsid w:val="00D26383"/>
    <w:rsid w:val="00D267C8"/>
    <w:rsid w:val="00D27021"/>
    <w:rsid w:val="00D27AB2"/>
    <w:rsid w:val="00D27E6F"/>
    <w:rsid w:val="00D31613"/>
    <w:rsid w:val="00D31DBB"/>
    <w:rsid w:val="00D32233"/>
    <w:rsid w:val="00D32EDE"/>
    <w:rsid w:val="00D334AC"/>
    <w:rsid w:val="00D339A4"/>
    <w:rsid w:val="00D33D80"/>
    <w:rsid w:val="00D3443F"/>
    <w:rsid w:val="00D3461B"/>
    <w:rsid w:val="00D347A0"/>
    <w:rsid w:val="00D347BE"/>
    <w:rsid w:val="00D34948"/>
    <w:rsid w:val="00D34B05"/>
    <w:rsid w:val="00D352D7"/>
    <w:rsid w:val="00D35CFC"/>
    <w:rsid w:val="00D36478"/>
    <w:rsid w:val="00D37ACF"/>
    <w:rsid w:val="00D4013E"/>
    <w:rsid w:val="00D40A4F"/>
    <w:rsid w:val="00D415D6"/>
    <w:rsid w:val="00D416D0"/>
    <w:rsid w:val="00D417FF"/>
    <w:rsid w:val="00D41808"/>
    <w:rsid w:val="00D41BC7"/>
    <w:rsid w:val="00D42244"/>
    <w:rsid w:val="00D42E55"/>
    <w:rsid w:val="00D43293"/>
    <w:rsid w:val="00D442D4"/>
    <w:rsid w:val="00D4526F"/>
    <w:rsid w:val="00D45737"/>
    <w:rsid w:val="00D4611C"/>
    <w:rsid w:val="00D4615F"/>
    <w:rsid w:val="00D4656A"/>
    <w:rsid w:val="00D47FB6"/>
    <w:rsid w:val="00D5081A"/>
    <w:rsid w:val="00D51702"/>
    <w:rsid w:val="00D51AEE"/>
    <w:rsid w:val="00D51C1F"/>
    <w:rsid w:val="00D51E78"/>
    <w:rsid w:val="00D53BF3"/>
    <w:rsid w:val="00D53DF9"/>
    <w:rsid w:val="00D54072"/>
    <w:rsid w:val="00D546DE"/>
    <w:rsid w:val="00D5712C"/>
    <w:rsid w:val="00D60D7C"/>
    <w:rsid w:val="00D61BA5"/>
    <w:rsid w:val="00D6221B"/>
    <w:rsid w:val="00D6279A"/>
    <w:rsid w:val="00D644FF"/>
    <w:rsid w:val="00D64AE2"/>
    <w:rsid w:val="00D67013"/>
    <w:rsid w:val="00D701D5"/>
    <w:rsid w:val="00D706E0"/>
    <w:rsid w:val="00D70AB2"/>
    <w:rsid w:val="00D711A7"/>
    <w:rsid w:val="00D71A2A"/>
    <w:rsid w:val="00D71CC4"/>
    <w:rsid w:val="00D72741"/>
    <w:rsid w:val="00D72D2F"/>
    <w:rsid w:val="00D72FD5"/>
    <w:rsid w:val="00D73F05"/>
    <w:rsid w:val="00D74AE9"/>
    <w:rsid w:val="00D74C52"/>
    <w:rsid w:val="00D75B70"/>
    <w:rsid w:val="00D76264"/>
    <w:rsid w:val="00D763E5"/>
    <w:rsid w:val="00D80070"/>
    <w:rsid w:val="00D802E2"/>
    <w:rsid w:val="00D81D35"/>
    <w:rsid w:val="00D821B0"/>
    <w:rsid w:val="00D83475"/>
    <w:rsid w:val="00D841D3"/>
    <w:rsid w:val="00D84575"/>
    <w:rsid w:val="00D850F8"/>
    <w:rsid w:val="00D85307"/>
    <w:rsid w:val="00D85FE3"/>
    <w:rsid w:val="00D85FF2"/>
    <w:rsid w:val="00D86283"/>
    <w:rsid w:val="00D862CC"/>
    <w:rsid w:val="00D865C0"/>
    <w:rsid w:val="00D86DE1"/>
    <w:rsid w:val="00D8723E"/>
    <w:rsid w:val="00D87913"/>
    <w:rsid w:val="00D9089A"/>
    <w:rsid w:val="00D90C62"/>
    <w:rsid w:val="00D9172D"/>
    <w:rsid w:val="00D923BC"/>
    <w:rsid w:val="00D927D9"/>
    <w:rsid w:val="00D92C12"/>
    <w:rsid w:val="00D93144"/>
    <w:rsid w:val="00D93C6F"/>
    <w:rsid w:val="00D93E91"/>
    <w:rsid w:val="00D9471E"/>
    <w:rsid w:val="00D949C8"/>
    <w:rsid w:val="00D95973"/>
    <w:rsid w:val="00D95FDD"/>
    <w:rsid w:val="00D9698F"/>
    <w:rsid w:val="00D978F6"/>
    <w:rsid w:val="00D97BA1"/>
    <w:rsid w:val="00DA0B18"/>
    <w:rsid w:val="00DA0E83"/>
    <w:rsid w:val="00DA21AC"/>
    <w:rsid w:val="00DA224A"/>
    <w:rsid w:val="00DA2530"/>
    <w:rsid w:val="00DA276D"/>
    <w:rsid w:val="00DA27BA"/>
    <w:rsid w:val="00DA2C86"/>
    <w:rsid w:val="00DA5788"/>
    <w:rsid w:val="00DA5B9C"/>
    <w:rsid w:val="00DA5F6E"/>
    <w:rsid w:val="00DA62D2"/>
    <w:rsid w:val="00DA64BA"/>
    <w:rsid w:val="00DA6A88"/>
    <w:rsid w:val="00DB01FB"/>
    <w:rsid w:val="00DB17AE"/>
    <w:rsid w:val="00DB1A8D"/>
    <w:rsid w:val="00DB22A5"/>
    <w:rsid w:val="00DB3399"/>
    <w:rsid w:val="00DB3EB2"/>
    <w:rsid w:val="00DB4034"/>
    <w:rsid w:val="00DB4617"/>
    <w:rsid w:val="00DB486A"/>
    <w:rsid w:val="00DB51E3"/>
    <w:rsid w:val="00DB573C"/>
    <w:rsid w:val="00DB5A24"/>
    <w:rsid w:val="00DB65FE"/>
    <w:rsid w:val="00DB6629"/>
    <w:rsid w:val="00DB6C46"/>
    <w:rsid w:val="00DB6E13"/>
    <w:rsid w:val="00DB6E64"/>
    <w:rsid w:val="00DB72D0"/>
    <w:rsid w:val="00DB7573"/>
    <w:rsid w:val="00DB7D48"/>
    <w:rsid w:val="00DB7EF8"/>
    <w:rsid w:val="00DC0CE5"/>
    <w:rsid w:val="00DC16ED"/>
    <w:rsid w:val="00DC197F"/>
    <w:rsid w:val="00DC1E05"/>
    <w:rsid w:val="00DC1E55"/>
    <w:rsid w:val="00DC23AA"/>
    <w:rsid w:val="00DC27B3"/>
    <w:rsid w:val="00DC3500"/>
    <w:rsid w:val="00DC4553"/>
    <w:rsid w:val="00DC4AB1"/>
    <w:rsid w:val="00DC52B1"/>
    <w:rsid w:val="00DC5C05"/>
    <w:rsid w:val="00DC6DEC"/>
    <w:rsid w:val="00DC77DB"/>
    <w:rsid w:val="00DC7F81"/>
    <w:rsid w:val="00DD06ED"/>
    <w:rsid w:val="00DD0C14"/>
    <w:rsid w:val="00DD23C0"/>
    <w:rsid w:val="00DD31B1"/>
    <w:rsid w:val="00DD3B2C"/>
    <w:rsid w:val="00DD455F"/>
    <w:rsid w:val="00DD4AC8"/>
    <w:rsid w:val="00DD5C13"/>
    <w:rsid w:val="00DD6615"/>
    <w:rsid w:val="00DD6BA2"/>
    <w:rsid w:val="00DD79D0"/>
    <w:rsid w:val="00DE0209"/>
    <w:rsid w:val="00DE03B3"/>
    <w:rsid w:val="00DE0500"/>
    <w:rsid w:val="00DE1721"/>
    <w:rsid w:val="00DE1E5F"/>
    <w:rsid w:val="00DE34F1"/>
    <w:rsid w:val="00DE362C"/>
    <w:rsid w:val="00DE3D85"/>
    <w:rsid w:val="00DE403F"/>
    <w:rsid w:val="00DE41AD"/>
    <w:rsid w:val="00DE53AF"/>
    <w:rsid w:val="00DE5693"/>
    <w:rsid w:val="00DE58F9"/>
    <w:rsid w:val="00DE5B83"/>
    <w:rsid w:val="00DE5F16"/>
    <w:rsid w:val="00DE6261"/>
    <w:rsid w:val="00DE6859"/>
    <w:rsid w:val="00DE7181"/>
    <w:rsid w:val="00DE75A8"/>
    <w:rsid w:val="00DE795F"/>
    <w:rsid w:val="00DE7AFD"/>
    <w:rsid w:val="00DF0912"/>
    <w:rsid w:val="00DF0AFC"/>
    <w:rsid w:val="00DF0C30"/>
    <w:rsid w:val="00DF1A96"/>
    <w:rsid w:val="00DF1F2D"/>
    <w:rsid w:val="00DF2172"/>
    <w:rsid w:val="00DF2663"/>
    <w:rsid w:val="00DF29A5"/>
    <w:rsid w:val="00DF35AD"/>
    <w:rsid w:val="00DF42B3"/>
    <w:rsid w:val="00DF4D33"/>
    <w:rsid w:val="00DF53AC"/>
    <w:rsid w:val="00DF5938"/>
    <w:rsid w:val="00DF5A04"/>
    <w:rsid w:val="00DF5A45"/>
    <w:rsid w:val="00DF5DE4"/>
    <w:rsid w:val="00DF5ECD"/>
    <w:rsid w:val="00DF603C"/>
    <w:rsid w:val="00DF79B1"/>
    <w:rsid w:val="00E00031"/>
    <w:rsid w:val="00E00F7E"/>
    <w:rsid w:val="00E02283"/>
    <w:rsid w:val="00E0276E"/>
    <w:rsid w:val="00E041BD"/>
    <w:rsid w:val="00E05387"/>
    <w:rsid w:val="00E05421"/>
    <w:rsid w:val="00E0560D"/>
    <w:rsid w:val="00E05DC6"/>
    <w:rsid w:val="00E06055"/>
    <w:rsid w:val="00E0633B"/>
    <w:rsid w:val="00E06824"/>
    <w:rsid w:val="00E06B77"/>
    <w:rsid w:val="00E0707C"/>
    <w:rsid w:val="00E10292"/>
    <w:rsid w:val="00E106AC"/>
    <w:rsid w:val="00E107BC"/>
    <w:rsid w:val="00E10962"/>
    <w:rsid w:val="00E109CA"/>
    <w:rsid w:val="00E10C8A"/>
    <w:rsid w:val="00E114DE"/>
    <w:rsid w:val="00E128E0"/>
    <w:rsid w:val="00E1291C"/>
    <w:rsid w:val="00E12A8C"/>
    <w:rsid w:val="00E131CD"/>
    <w:rsid w:val="00E132AA"/>
    <w:rsid w:val="00E135B5"/>
    <w:rsid w:val="00E1385F"/>
    <w:rsid w:val="00E13C43"/>
    <w:rsid w:val="00E143A8"/>
    <w:rsid w:val="00E1476F"/>
    <w:rsid w:val="00E15561"/>
    <w:rsid w:val="00E15718"/>
    <w:rsid w:val="00E15769"/>
    <w:rsid w:val="00E15D0A"/>
    <w:rsid w:val="00E15E55"/>
    <w:rsid w:val="00E1699E"/>
    <w:rsid w:val="00E16EAC"/>
    <w:rsid w:val="00E1730D"/>
    <w:rsid w:val="00E17517"/>
    <w:rsid w:val="00E17D30"/>
    <w:rsid w:val="00E2001E"/>
    <w:rsid w:val="00E200ED"/>
    <w:rsid w:val="00E20390"/>
    <w:rsid w:val="00E20BD8"/>
    <w:rsid w:val="00E214B1"/>
    <w:rsid w:val="00E21761"/>
    <w:rsid w:val="00E21B74"/>
    <w:rsid w:val="00E21BF8"/>
    <w:rsid w:val="00E21D9F"/>
    <w:rsid w:val="00E22644"/>
    <w:rsid w:val="00E22AB8"/>
    <w:rsid w:val="00E2311D"/>
    <w:rsid w:val="00E2324F"/>
    <w:rsid w:val="00E23BF4"/>
    <w:rsid w:val="00E24D53"/>
    <w:rsid w:val="00E25078"/>
    <w:rsid w:val="00E264A5"/>
    <w:rsid w:val="00E267D2"/>
    <w:rsid w:val="00E276C5"/>
    <w:rsid w:val="00E27CB2"/>
    <w:rsid w:val="00E27CB6"/>
    <w:rsid w:val="00E307A3"/>
    <w:rsid w:val="00E309E0"/>
    <w:rsid w:val="00E3278F"/>
    <w:rsid w:val="00E351C7"/>
    <w:rsid w:val="00E35279"/>
    <w:rsid w:val="00E3534D"/>
    <w:rsid w:val="00E35421"/>
    <w:rsid w:val="00E3756C"/>
    <w:rsid w:val="00E376C4"/>
    <w:rsid w:val="00E37717"/>
    <w:rsid w:val="00E37886"/>
    <w:rsid w:val="00E37EAC"/>
    <w:rsid w:val="00E37EC8"/>
    <w:rsid w:val="00E37FEC"/>
    <w:rsid w:val="00E4079C"/>
    <w:rsid w:val="00E40E3C"/>
    <w:rsid w:val="00E428AA"/>
    <w:rsid w:val="00E42AA0"/>
    <w:rsid w:val="00E43589"/>
    <w:rsid w:val="00E43B48"/>
    <w:rsid w:val="00E43C7D"/>
    <w:rsid w:val="00E44021"/>
    <w:rsid w:val="00E4494F"/>
    <w:rsid w:val="00E44E77"/>
    <w:rsid w:val="00E4618E"/>
    <w:rsid w:val="00E4643D"/>
    <w:rsid w:val="00E46C91"/>
    <w:rsid w:val="00E504E1"/>
    <w:rsid w:val="00E51241"/>
    <w:rsid w:val="00E51330"/>
    <w:rsid w:val="00E513A3"/>
    <w:rsid w:val="00E51D9D"/>
    <w:rsid w:val="00E5298B"/>
    <w:rsid w:val="00E52A2F"/>
    <w:rsid w:val="00E533EB"/>
    <w:rsid w:val="00E53721"/>
    <w:rsid w:val="00E53817"/>
    <w:rsid w:val="00E5446F"/>
    <w:rsid w:val="00E556E3"/>
    <w:rsid w:val="00E56E53"/>
    <w:rsid w:val="00E603CE"/>
    <w:rsid w:val="00E609AE"/>
    <w:rsid w:val="00E60A1D"/>
    <w:rsid w:val="00E611B5"/>
    <w:rsid w:val="00E62016"/>
    <w:rsid w:val="00E628FE"/>
    <w:rsid w:val="00E62B1C"/>
    <w:rsid w:val="00E62F5B"/>
    <w:rsid w:val="00E6330B"/>
    <w:rsid w:val="00E63730"/>
    <w:rsid w:val="00E640AA"/>
    <w:rsid w:val="00E65DBC"/>
    <w:rsid w:val="00E66344"/>
    <w:rsid w:val="00E66660"/>
    <w:rsid w:val="00E678A4"/>
    <w:rsid w:val="00E67B33"/>
    <w:rsid w:val="00E705A9"/>
    <w:rsid w:val="00E71180"/>
    <w:rsid w:val="00E716E4"/>
    <w:rsid w:val="00E71F74"/>
    <w:rsid w:val="00E73379"/>
    <w:rsid w:val="00E747B2"/>
    <w:rsid w:val="00E74A12"/>
    <w:rsid w:val="00E74DBD"/>
    <w:rsid w:val="00E75D13"/>
    <w:rsid w:val="00E75F30"/>
    <w:rsid w:val="00E7601B"/>
    <w:rsid w:val="00E77909"/>
    <w:rsid w:val="00E77A17"/>
    <w:rsid w:val="00E77FB3"/>
    <w:rsid w:val="00E81E6B"/>
    <w:rsid w:val="00E828CF"/>
    <w:rsid w:val="00E82D95"/>
    <w:rsid w:val="00E83141"/>
    <w:rsid w:val="00E83402"/>
    <w:rsid w:val="00E83C79"/>
    <w:rsid w:val="00E856A7"/>
    <w:rsid w:val="00E8571A"/>
    <w:rsid w:val="00E8593D"/>
    <w:rsid w:val="00E85ED4"/>
    <w:rsid w:val="00E8612D"/>
    <w:rsid w:val="00E86493"/>
    <w:rsid w:val="00E86E03"/>
    <w:rsid w:val="00E8779E"/>
    <w:rsid w:val="00E87D23"/>
    <w:rsid w:val="00E90085"/>
    <w:rsid w:val="00E907CE"/>
    <w:rsid w:val="00E908EB"/>
    <w:rsid w:val="00E90E4B"/>
    <w:rsid w:val="00E90E60"/>
    <w:rsid w:val="00E921A2"/>
    <w:rsid w:val="00E92A4F"/>
    <w:rsid w:val="00E93CA8"/>
    <w:rsid w:val="00E94994"/>
    <w:rsid w:val="00E94D4D"/>
    <w:rsid w:val="00E95A4C"/>
    <w:rsid w:val="00E95E00"/>
    <w:rsid w:val="00E9619C"/>
    <w:rsid w:val="00E96304"/>
    <w:rsid w:val="00E96559"/>
    <w:rsid w:val="00E96580"/>
    <w:rsid w:val="00EA2FD3"/>
    <w:rsid w:val="00EA3D4C"/>
    <w:rsid w:val="00EA47EA"/>
    <w:rsid w:val="00EA75C6"/>
    <w:rsid w:val="00EA7A89"/>
    <w:rsid w:val="00EB0A82"/>
    <w:rsid w:val="00EB0DF5"/>
    <w:rsid w:val="00EB0E0D"/>
    <w:rsid w:val="00EB12FF"/>
    <w:rsid w:val="00EB1461"/>
    <w:rsid w:val="00EB15AA"/>
    <w:rsid w:val="00EB1852"/>
    <w:rsid w:val="00EB1E28"/>
    <w:rsid w:val="00EB1F14"/>
    <w:rsid w:val="00EB241F"/>
    <w:rsid w:val="00EB247B"/>
    <w:rsid w:val="00EB27D6"/>
    <w:rsid w:val="00EB2858"/>
    <w:rsid w:val="00EB459E"/>
    <w:rsid w:val="00EB5602"/>
    <w:rsid w:val="00EB581E"/>
    <w:rsid w:val="00EB5EA0"/>
    <w:rsid w:val="00EB6740"/>
    <w:rsid w:val="00EB6EA2"/>
    <w:rsid w:val="00EB6FA2"/>
    <w:rsid w:val="00EB7518"/>
    <w:rsid w:val="00EB7872"/>
    <w:rsid w:val="00EC054F"/>
    <w:rsid w:val="00EC0B54"/>
    <w:rsid w:val="00EC0D40"/>
    <w:rsid w:val="00EC0FAB"/>
    <w:rsid w:val="00EC16C5"/>
    <w:rsid w:val="00EC1C05"/>
    <w:rsid w:val="00EC1ED5"/>
    <w:rsid w:val="00EC20EC"/>
    <w:rsid w:val="00EC246F"/>
    <w:rsid w:val="00EC27AD"/>
    <w:rsid w:val="00EC2A6D"/>
    <w:rsid w:val="00EC2BF8"/>
    <w:rsid w:val="00EC31B0"/>
    <w:rsid w:val="00EC3F1D"/>
    <w:rsid w:val="00EC3FEA"/>
    <w:rsid w:val="00EC4C42"/>
    <w:rsid w:val="00EC6000"/>
    <w:rsid w:val="00EC6158"/>
    <w:rsid w:val="00EC6A4A"/>
    <w:rsid w:val="00EC7B32"/>
    <w:rsid w:val="00ED012C"/>
    <w:rsid w:val="00ED01DE"/>
    <w:rsid w:val="00ED076C"/>
    <w:rsid w:val="00ED19BF"/>
    <w:rsid w:val="00ED1DE2"/>
    <w:rsid w:val="00ED224B"/>
    <w:rsid w:val="00ED2A90"/>
    <w:rsid w:val="00ED3179"/>
    <w:rsid w:val="00ED3CA2"/>
    <w:rsid w:val="00ED4632"/>
    <w:rsid w:val="00ED4788"/>
    <w:rsid w:val="00ED4CB5"/>
    <w:rsid w:val="00ED5AAF"/>
    <w:rsid w:val="00ED6302"/>
    <w:rsid w:val="00ED6735"/>
    <w:rsid w:val="00ED67B5"/>
    <w:rsid w:val="00ED67CB"/>
    <w:rsid w:val="00ED6980"/>
    <w:rsid w:val="00ED6F0D"/>
    <w:rsid w:val="00ED737E"/>
    <w:rsid w:val="00ED76F3"/>
    <w:rsid w:val="00EE045B"/>
    <w:rsid w:val="00EE1373"/>
    <w:rsid w:val="00EE1792"/>
    <w:rsid w:val="00EE2656"/>
    <w:rsid w:val="00EE2C13"/>
    <w:rsid w:val="00EE40DE"/>
    <w:rsid w:val="00EE4103"/>
    <w:rsid w:val="00EE4FC3"/>
    <w:rsid w:val="00EE524A"/>
    <w:rsid w:val="00EE57D5"/>
    <w:rsid w:val="00EE6253"/>
    <w:rsid w:val="00EE650A"/>
    <w:rsid w:val="00EE65FD"/>
    <w:rsid w:val="00EE6AEA"/>
    <w:rsid w:val="00EE6FA3"/>
    <w:rsid w:val="00EF0B1C"/>
    <w:rsid w:val="00EF151C"/>
    <w:rsid w:val="00EF1B3F"/>
    <w:rsid w:val="00EF4351"/>
    <w:rsid w:val="00EF4B56"/>
    <w:rsid w:val="00EF4C4A"/>
    <w:rsid w:val="00EF5361"/>
    <w:rsid w:val="00EF565B"/>
    <w:rsid w:val="00EF60FE"/>
    <w:rsid w:val="00EF679F"/>
    <w:rsid w:val="00EF7131"/>
    <w:rsid w:val="00EF772F"/>
    <w:rsid w:val="00F006C8"/>
    <w:rsid w:val="00F00E40"/>
    <w:rsid w:val="00F0105C"/>
    <w:rsid w:val="00F01540"/>
    <w:rsid w:val="00F027E3"/>
    <w:rsid w:val="00F02E62"/>
    <w:rsid w:val="00F035C9"/>
    <w:rsid w:val="00F0368F"/>
    <w:rsid w:val="00F03D66"/>
    <w:rsid w:val="00F03E55"/>
    <w:rsid w:val="00F04FEE"/>
    <w:rsid w:val="00F0682D"/>
    <w:rsid w:val="00F0704C"/>
    <w:rsid w:val="00F079CE"/>
    <w:rsid w:val="00F12E9B"/>
    <w:rsid w:val="00F1487B"/>
    <w:rsid w:val="00F1492A"/>
    <w:rsid w:val="00F14A25"/>
    <w:rsid w:val="00F14A99"/>
    <w:rsid w:val="00F14B78"/>
    <w:rsid w:val="00F15328"/>
    <w:rsid w:val="00F15503"/>
    <w:rsid w:val="00F16467"/>
    <w:rsid w:val="00F166F4"/>
    <w:rsid w:val="00F16929"/>
    <w:rsid w:val="00F16A95"/>
    <w:rsid w:val="00F177E8"/>
    <w:rsid w:val="00F20F69"/>
    <w:rsid w:val="00F21A5B"/>
    <w:rsid w:val="00F21C7B"/>
    <w:rsid w:val="00F2267C"/>
    <w:rsid w:val="00F22741"/>
    <w:rsid w:val="00F23207"/>
    <w:rsid w:val="00F23459"/>
    <w:rsid w:val="00F23D8C"/>
    <w:rsid w:val="00F23F79"/>
    <w:rsid w:val="00F24719"/>
    <w:rsid w:val="00F247FA"/>
    <w:rsid w:val="00F24D64"/>
    <w:rsid w:val="00F251FB"/>
    <w:rsid w:val="00F255B0"/>
    <w:rsid w:val="00F25B71"/>
    <w:rsid w:val="00F25EB0"/>
    <w:rsid w:val="00F26698"/>
    <w:rsid w:val="00F276C8"/>
    <w:rsid w:val="00F305B4"/>
    <w:rsid w:val="00F308EB"/>
    <w:rsid w:val="00F30C21"/>
    <w:rsid w:val="00F30EB8"/>
    <w:rsid w:val="00F31330"/>
    <w:rsid w:val="00F31573"/>
    <w:rsid w:val="00F3186C"/>
    <w:rsid w:val="00F3202C"/>
    <w:rsid w:val="00F323E7"/>
    <w:rsid w:val="00F330AC"/>
    <w:rsid w:val="00F33D29"/>
    <w:rsid w:val="00F33D34"/>
    <w:rsid w:val="00F33D5F"/>
    <w:rsid w:val="00F3425F"/>
    <w:rsid w:val="00F34388"/>
    <w:rsid w:val="00F34BC5"/>
    <w:rsid w:val="00F35297"/>
    <w:rsid w:val="00F3544E"/>
    <w:rsid w:val="00F379E3"/>
    <w:rsid w:val="00F4055A"/>
    <w:rsid w:val="00F40596"/>
    <w:rsid w:val="00F41038"/>
    <w:rsid w:val="00F41688"/>
    <w:rsid w:val="00F4221A"/>
    <w:rsid w:val="00F431F0"/>
    <w:rsid w:val="00F43849"/>
    <w:rsid w:val="00F43A8A"/>
    <w:rsid w:val="00F43AF1"/>
    <w:rsid w:val="00F43EB3"/>
    <w:rsid w:val="00F43EC7"/>
    <w:rsid w:val="00F43F02"/>
    <w:rsid w:val="00F43FD3"/>
    <w:rsid w:val="00F45F0F"/>
    <w:rsid w:val="00F46621"/>
    <w:rsid w:val="00F50261"/>
    <w:rsid w:val="00F5043C"/>
    <w:rsid w:val="00F50484"/>
    <w:rsid w:val="00F511B3"/>
    <w:rsid w:val="00F51B88"/>
    <w:rsid w:val="00F5213B"/>
    <w:rsid w:val="00F527FA"/>
    <w:rsid w:val="00F535D1"/>
    <w:rsid w:val="00F539CA"/>
    <w:rsid w:val="00F53B1D"/>
    <w:rsid w:val="00F54335"/>
    <w:rsid w:val="00F54B05"/>
    <w:rsid w:val="00F550A7"/>
    <w:rsid w:val="00F553CC"/>
    <w:rsid w:val="00F556BB"/>
    <w:rsid w:val="00F56223"/>
    <w:rsid w:val="00F575FF"/>
    <w:rsid w:val="00F604CC"/>
    <w:rsid w:val="00F607DB"/>
    <w:rsid w:val="00F60D1E"/>
    <w:rsid w:val="00F61B3B"/>
    <w:rsid w:val="00F61B91"/>
    <w:rsid w:val="00F61ED6"/>
    <w:rsid w:val="00F62F2C"/>
    <w:rsid w:val="00F6304B"/>
    <w:rsid w:val="00F63957"/>
    <w:rsid w:val="00F641AA"/>
    <w:rsid w:val="00F6464D"/>
    <w:rsid w:val="00F64670"/>
    <w:rsid w:val="00F64879"/>
    <w:rsid w:val="00F648AD"/>
    <w:rsid w:val="00F64D77"/>
    <w:rsid w:val="00F6692B"/>
    <w:rsid w:val="00F67640"/>
    <w:rsid w:val="00F67730"/>
    <w:rsid w:val="00F6781D"/>
    <w:rsid w:val="00F67E59"/>
    <w:rsid w:val="00F70F0E"/>
    <w:rsid w:val="00F715A3"/>
    <w:rsid w:val="00F74730"/>
    <w:rsid w:val="00F74841"/>
    <w:rsid w:val="00F75C21"/>
    <w:rsid w:val="00F75E51"/>
    <w:rsid w:val="00F75FFD"/>
    <w:rsid w:val="00F760EE"/>
    <w:rsid w:val="00F76AEF"/>
    <w:rsid w:val="00F76DE1"/>
    <w:rsid w:val="00F77498"/>
    <w:rsid w:val="00F77AD2"/>
    <w:rsid w:val="00F80069"/>
    <w:rsid w:val="00F80165"/>
    <w:rsid w:val="00F808C3"/>
    <w:rsid w:val="00F80A19"/>
    <w:rsid w:val="00F811EA"/>
    <w:rsid w:val="00F81402"/>
    <w:rsid w:val="00F817FE"/>
    <w:rsid w:val="00F81B9A"/>
    <w:rsid w:val="00F82561"/>
    <w:rsid w:val="00F85549"/>
    <w:rsid w:val="00F86841"/>
    <w:rsid w:val="00F86D74"/>
    <w:rsid w:val="00F86F19"/>
    <w:rsid w:val="00F87239"/>
    <w:rsid w:val="00F875AB"/>
    <w:rsid w:val="00F90695"/>
    <w:rsid w:val="00F91179"/>
    <w:rsid w:val="00F91596"/>
    <w:rsid w:val="00F9162D"/>
    <w:rsid w:val="00F91901"/>
    <w:rsid w:val="00F91BDC"/>
    <w:rsid w:val="00F91DCF"/>
    <w:rsid w:val="00F93743"/>
    <w:rsid w:val="00F941FC"/>
    <w:rsid w:val="00F952D6"/>
    <w:rsid w:val="00F95BB1"/>
    <w:rsid w:val="00F962E0"/>
    <w:rsid w:val="00F9631E"/>
    <w:rsid w:val="00F96C27"/>
    <w:rsid w:val="00F97403"/>
    <w:rsid w:val="00FA01E3"/>
    <w:rsid w:val="00FA0771"/>
    <w:rsid w:val="00FA091F"/>
    <w:rsid w:val="00FA29F5"/>
    <w:rsid w:val="00FA32A4"/>
    <w:rsid w:val="00FA32BA"/>
    <w:rsid w:val="00FA3F86"/>
    <w:rsid w:val="00FA4070"/>
    <w:rsid w:val="00FA4465"/>
    <w:rsid w:val="00FA5318"/>
    <w:rsid w:val="00FA6A13"/>
    <w:rsid w:val="00FA7FFE"/>
    <w:rsid w:val="00FB088F"/>
    <w:rsid w:val="00FB1629"/>
    <w:rsid w:val="00FB1921"/>
    <w:rsid w:val="00FB1CB2"/>
    <w:rsid w:val="00FB3386"/>
    <w:rsid w:val="00FB33E4"/>
    <w:rsid w:val="00FB367B"/>
    <w:rsid w:val="00FB3683"/>
    <w:rsid w:val="00FB3EC3"/>
    <w:rsid w:val="00FB4E8D"/>
    <w:rsid w:val="00FB555E"/>
    <w:rsid w:val="00FB68EB"/>
    <w:rsid w:val="00FB69AE"/>
    <w:rsid w:val="00FB69FE"/>
    <w:rsid w:val="00FB7517"/>
    <w:rsid w:val="00FB7C29"/>
    <w:rsid w:val="00FB7D6D"/>
    <w:rsid w:val="00FC018F"/>
    <w:rsid w:val="00FC06B7"/>
    <w:rsid w:val="00FC0EAB"/>
    <w:rsid w:val="00FC159E"/>
    <w:rsid w:val="00FC20E2"/>
    <w:rsid w:val="00FC2190"/>
    <w:rsid w:val="00FC24D9"/>
    <w:rsid w:val="00FC2557"/>
    <w:rsid w:val="00FC2C85"/>
    <w:rsid w:val="00FC31B3"/>
    <w:rsid w:val="00FC392D"/>
    <w:rsid w:val="00FC3B75"/>
    <w:rsid w:val="00FC420A"/>
    <w:rsid w:val="00FC486D"/>
    <w:rsid w:val="00FC4AC4"/>
    <w:rsid w:val="00FC5275"/>
    <w:rsid w:val="00FC5F00"/>
    <w:rsid w:val="00FC6036"/>
    <w:rsid w:val="00FC6D9A"/>
    <w:rsid w:val="00FC6D9B"/>
    <w:rsid w:val="00FC754E"/>
    <w:rsid w:val="00FC764C"/>
    <w:rsid w:val="00FC7718"/>
    <w:rsid w:val="00FC77C0"/>
    <w:rsid w:val="00FD073C"/>
    <w:rsid w:val="00FD1038"/>
    <w:rsid w:val="00FD1973"/>
    <w:rsid w:val="00FD1B5E"/>
    <w:rsid w:val="00FD1E48"/>
    <w:rsid w:val="00FD2029"/>
    <w:rsid w:val="00FD2AF8"/>
    <w:rsid w:val="00FD4A3E"/>
    <w:rsid w:val="00FD50D4"/>
    <w:rsid w:val="00FD5424"/>
    <w:rsid w:val="00FD545F"/>
    <w:rsid w:val="00FD572D"/>
    <w:rsid w:val="00FD5C81"/>
    <w:rsid w:val="00FD6E4C"/>
    <w:rsid w:val="00FD6E8B"/>
    <w:rsid w:val="00FD7370"/>
    <w:rsid w:val="00FD791F"/>
    <w:rsid w:val="00FD7A10"/>
    <w:rsid w:val="00FD7C94"/>
    <w:rsid w:val="00FD7E29"/>
    <w:rsid w:val="00FD7FFA"/>
    <w:rsid w:val="00FE0567"/>
    <w:rsid w:val="00FE0999"/>
    <w:rsid w:val="00FE11A2"/>
    <w:rsid w:val="00FE17FC"/>
    <w:rsid w:val="00FE2ED8"/>
    <w:rsid w:val="00FE31CF"/>
    <w:rsid w:val="00FE360F"/>
    <w:rsid w:val="00FE3B5E"/>
    <w:rsid w:val="00FE3D2D"/>
    <w:rsid w:val="00FE5B28"/>
    <w:rsid w:val="00FE5C30"/>
    <w:rsid w:val="00FE6A95"/>
    <w:rsid w:val="00FF18F0"/>
    <w:rsid w:val="00FF38D3"/>
    <w:rsid w:val="00FF4284"/>
    <w:rsid w:val="00FF4B86"/>
    <w:rsid w:val="00FF4FA6"/>
    <w:rsid w:val="00FF4FCC"/>
    <w:rsid w:val="00FF5799"/>
    <w:rsid w:val="00FF62F1"/>
    <w:rsid w:val="00FF66F5"/>
    <w:rsid w:val="00FF7EFD"/>
    <w:rsid w:val="0C5E2165"/>
    <w:rsid w:val="0CB80651"/>
    <w:rsid w:val="14632B99"/>
    <w:rsid w:val="14B94E06"/>
    <w:rsid w:val="1BB30713"/>
    <w:rsid w:val="22AD4BB8"/>
    <w:rsid w:val="2987365A"/>
    <w:rsid w:val="2A8C0785"/>
    <w:rsid w:val="36881A60"/>
    <w:rsid w:val="42CB3072"/>
    <w:rsid w:val="453B1B1F"/>
    <w:rsid w:val="46E22257"/>
    <w:rsid w:val="47ED1001"/>
    <w:rsid w:val="54ED0C26"/>
    <w:rsid w:val="5FFC4413"/>
    <w:rsid w:val="633914DA"/>
    <w:rsid w:val="66212E26"/>
    <w:rsid w:val="691577F7"/>
    <w:rsid w:val="6AD21618"/>
    <w:rsid w:val="6D125276"/>
    <w:rsid w:val="72BA06D0"/>
    <w:rsid w:val="7389513A"/>
    <w:rsid w:val="756D6EF3"/>
    <w:rsid w:val="7B500FD2"/>
    <w:rsid w:val="7B5F194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45683720"/>
  <w15:docId w15:val="{7CC17410-55F0-4E58-B6B8-31AF733C3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nhideWhenUsed="1" w:qFormat="1"/>
    <w:lsdException w:name="annotation reference" w:uiPriority="0" w:unhideWhenUsed="1" w:qFormat="1"/>
    <w:lsdException w:name="line number" w:semiHidden="1" w:unhideWhenUsed="1" w:qFormat="1"/>
    <w:lsdException w:name="page number" w:semiHidden="1"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57D40"/>
    <w:rPr>
      <w:rFonts w:eastAsia="Times New Roman"/>
      <w:sz w:val="24"/>
      <w:szCs w:val="24"/>
    </w:rPr>
  </w:style>
  <w:style w:type="paragraph" w:styleId="1">
    <w:name w:val="heading 1"/>
    <w:basedOn w:val="a"/>
    <w:next w:val="a"/>
    <w:link w:val="10"/>
    <w:uiPriority w:val="9"/>
    <w:qFormat/>
    <w:pPr>
      <w:keepNext/>
      <w:keepLines/>
      <w:spacing w:before="240"/>
      <w:outlineLvl w:val="0"/>
    </w:pPr>
    <w:rPr>
      <w:rFonts w:asciiTheme="majorHAnsi" w:eastAsiaTheme="majorEastAsia" w:hAnsiTheme="majorHAnsi" w:cstheme="majorBidi"/>
      <w:color w:val="638C1B" w:themeColor="accent1" w:themeShade="BF"/>
      <w:sz w:val="32"/>
      <w:szCs w:val="32"/>
    </w:rPr>
  </w:style>
  <w:style w:type="paragraph" w:styleId="3">
    <w:name w:val="heading 3"/>
    <w:basedOn w:val="a"/>
    <w:next w:val="a"/>
    <w:link w:val="30"/>
    <w:uiPriority w:val="9"/>
    <w:semiHidden/>
    <w:unhideWhenUsed/>
    <w:qFormat/>
    <w:rsid w:val="00067586"/>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rPr>
      <w:szCs w:val="20"/>
    </w:rPr>
  </w:style>
  <w:style w:type="paragraph" w:styleId="a5">
    <w:name w:val="Body Text"/>
    <w:basedOn w:val="a"/>
    <w:link w:val="a6"/>
    <w:qFormat/>
    <w:pPr>
      <w:adjustRightInd w:val="0"/>
      <w:snapToGrid w:val="0"/>
      <w:spacing w:before="150" w:after="150" w:line="264" w:lineRule="auto"/>
      <w:ind w:firstLine="567"/>
      <w:jc w:val="both"/>
    </w:pPr>
    <w:rPr>
      <w:rFonts w:ascii="华文楷体" w:eastAsia="LF_Kai" w:hAnsi="华文楷体"/>
      <w:szCs w:val="20"/>
    </w:rPr>
  </w:style>
  <w:style w:type="paragraph" w:styleId="TOC3">
    <w:name w:val="toc 3"/>
    <w:basedOn w:val="a"/>
    <w:next w:val="a"/>
    <w:uiPriority w:val="39"/>
    <w:unhideWhenUsed/>
    <w:qFormat/>
    <w:pPr>
      <w:spacing w:after="100"/>
      <w:ind w:left="400"/>
    </w:pPr>
  </w:style>
  <w:style w:type="paragraph" w:styleId="a7">
    <w:name w:val="Date"/>
    <w:basedOn w:val="a"/>
    <w:next w:val="a"/>
    <w:link w:val="a8"/>
    <w:uiPriority w:val="99"/>
    <w:semiHidden/>
    <w:unhideWhenUsed/>
    <w:qFormat/>
    <w:pPr>
      <w:ind w:leftChars="2500" w:left="100"/>
    </w:pPr>
  </w:style>
  <w:style w:type="paragraph" w:styleId="a9">
    <w:name w:val="endnote text"/>
    <w:basedOn w:val="a"/>
    <w:link w:val="aa"/>
    <w:uiPriority w:val="99"/>
    <w:semiHidden/>
    <w:unhideWhenUsed/>
    <w:qFormat/>
    <w:rPr>
      <w:szCs w:val="20"/>
    </w:rPr>
  </w:style>
  <w:style w:type="paragraph" w:styleId="ab">
    <w:name w:val="Balloon Text"/>
    <w:basedOn w:val="a"/>
    <w:link w:val="ac"/>
    <w:uiPriority w:val="99"/>
    <w:semiHidden/>
    <w:unhideWhenUsed/>
    <w:qFormat/>
    <w:rPr>
      <w:rFonts w:ascii="Segoe UI" w:hAnsi="Segoe UI" w:cs="Segoe UI"/>
      <w:sz w:val="18"/>
      <w:szCs w:val="18"/>
    </w:rPr>
  </w:style>
  <w:style w:type="paragraph" w:styleId="ad">
    <w:name w:val="footer"/>
    <w:basedOn w:val="a"/>
    <w:link w:val="ae"/>
    <w:uiPriority w:val="99"/>
    <w:unhideWhenUsed/>
    <w:qFormat/>
    <w:pPr>
      <w:tabs>
        <w:tab w:val="center" w:pos="4320"/>
        <w:tab w:val="right" w:pos="8640"/>
      </w:tabs>
    </w:pPr>
  </w:style>
  <w:style w:type="paragraph" w:styleId="af">
    <w:name w:val="header"/>
    <w:basedOn w:val="a"/>
    <w:link w:val="af0"/>
    <w:uiPriority w:val="99"/>
    <w:unhideWhenUsed/>
    <w:qFormat/>
    <w:pPr>
      <w:tabs>
        <w:tab w:val="center" w:pos="4320"/>
        <w:tab w:val="right" w:pos="8640"/>
      </w:tabs>
    </w:pPr>
  </w:style>
  <w:style w:type="paragraph" w:styleId="TOC1">
    <w:name w:val="toc 1"/>
    <w:basedOn w:val="a"/>
    <w:next w:val="a"/>
    <w:uiPriority w:val="39"/>
    <w:unhideWhenUsed/>
    <w:qFormat/>
    <w:pPr>
      <w:tabs>
        <w:tab w:val="right" w:leader="dot" w:pos="8630"/>
      </w:tabs>
      <w:spacing w:after="100"/>
    </w:pPr>
    <w:rPr>
      <w:rFonts w:asciiTheme="minorHAnsi" w:eastAsia="华文细黑" w:hAnsiTheme="minorHAnsi"/>
      <w:b/>
    </w:rPr>
  </w:style>
  <w:style w:type="paragraph" w:styleId="af1">
    <w:name w:val="footnote text"/>
    <w:basedOn w:val="a"/>
    <w:link w:val="af2"/>
    <w:uiPriority w:val="99"/>
    <w:unhideWhenUsed/>
    <w:qFormat/>
    <w:rPr>
      <w:szCs w:val="20"/>
    </w:rPr>
  </w:style>
  <w:style w:type="paragraph" w:styleId="TOC2">
    <w:name w:val="toc 2"/>
    <w:basedOn w:val="a"/>
    <w:next w:val="a"/>
    <w:uiPriority w:val="39"/>
    <w:unhideWhenUsed/>
    <w:qFormat/>
    <w:pPr>
      <w:tabs>
        <w:tab w:val="right" w:leader="dot" w:pos="8630"/>
      </w:tabs>
      <w:spacing w:after="100" w:line="360" w:lineRule="auto"/>
      <w:ind w:left="200" w:hanging="200"/>
    </w:pPr>
  </w:style>
  <w:style w:type="paragraph" w:styleId="af3">
    <w:name w:val="Normal (Web)"/>
    <w:basedOn w:val="a"/>
    <w:uiPriority w:val="99"/>
    <w:semiHidden/>
    <w:unhideWhenUsed/>
    <w:qFormat/>
    <w:pPr>
      <w:spacing w:before="100" w:beforeAutospacing="1" w:after="100" w:afterAutospacing="1"/>
    </w:pPr>
    <w:rPr>
      <w:rFonts w:ascii="宋体" w:eastAsia="宋体" w:hAnsi="宋体" w:cs="宋体"/>
    </w:rPr>
  </w:style>
  <w:style w:type="paragraph" w:styleId="af4">
    <w:name w:val="annotation subject"/>
    <w:basedOn w:val="a3"/>
    <w:next w:val="a3"/>
    <w:link w:val="af5"/>
    <w:uiPriority w:val="99"/>
    <w:semiHidden/>
    <w:unhideWhenUsed/>
    <w:qFormat/>
    <w:rPr>
      <w:b/>
      <w:bCs/>
    </w:rPr>
  </w:style>
  <w:style w:type="paragraph" w:styleId="af6">
    <w:name w:val="Body Text First Indent"/>
    <w:basedOn w:val="a5"/>
    <w:link w:val="af7"/>
    <w:uiPriority w:val="99"/>
    <w:semiHidden/>
    <w:unhideWhenUsed/>
    <w:qFormat/>
    <w:pPr>
      <w:adjustRightInd/>
      <w:snapToGrid/>
      <w:spacing w:before="0" w:after="120" w:line="240" w:lineRule="auto"/>
      <w:ind w:firstLineChars="100" w:firstLine="420"/>
      <w:jc w:val="left"/>
    </w:pPr>
    <w:rPr>
      <w:rFonts w:ascii="Times New Roman" w:eastAsia="Times New Roman" w:hAnsi="Times New Roman"/>
      <w:szCs w:val="24"/>
    </w:rPr>
  </w:style>
  <w:style w:type="table" w:styleId="af8">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endnote reference"/>
    <w:basedOn w:val="a0"/>
    <w:uiPriority w:val="99"/>
    <w:semiHidden/>
    <w:unhideWhenUsed/>
    <w:qFormat/>
    <w:rPr>
      <w:vertAlign w:val="superscript"/>
    </w:rPr>
  </w:style>
  <w:style w:type="character" w:styleId="afa">
    <w:name w:val="FollowedHyperlink"/>
    <w:basedOn w:val="a0"/>
    <w:uiPriority w:val="99"/>
    <w:semiHidden/>
    <w:unhideWhenUsed/>
    <w:qFormat/>
    <w:rPr>
      <w:color w:val="954F72" w:themeColor="followedHyperlink"/>
      <w:u w:val="single"/>
    </w:rPr>
  </w:style>
  <w:style w:type="character" w:styleId="afb">
    <w:name w:val="line number"/>
    <w:basedOn w:val="a0"/>
    <w:uiPriority w:val="99"/>
    <w:semiHidden/>
    <w:unhideWhenUsed/>
    <w:qFormat/>
  </w:style>
  <w:style w:type="character" w:styleId="afc">
    <w:name w:val="Hyperlink"/>
    <w:basedOn w:val="a0"/>
    <w:uiPriority w:val="99"/>
    <w:unhideWhenUsed/>
    <w:qFormat/>
    <w:rPr>
      <w:color w:val="00A3E0" w:themeColor="hyperlink"/>
      <w:u w:val="single"/>
    </w:rPr>
  </w:style>
  <w:style w:type="character" w:styleId="afd">
    <w:name w:val="annotation reference"/>
    <w:basedOn w:val="a0"/>
    <w:unhideWhenUsed/>
    <w:qFormat/>
    <w:rPr>
      <w:sz w:val="16"/>
      <w:szCs w:val="16"/>
    </w:rPr>
  </w:style>
  <w:style w:type="character" w:styleId="afe">
    <w:name w:val="footnote reference"/>
    <w:basedOn w:val="a0"/>
    <w:uiPriority w:val="99"/>
    <w:unhideWhenUsed/>
    <w:qFormat/>
    <w:rPr>
      <w:vertAlign w:val="superscript"/>
    </w:rPr>
  </w:style>
  <w:style w:type="character" w:customStyle="1" w:styleId="10">
    <w:name w:val="标题 1 字符"/>
    <w:basedOn w:val="a0"/>
    <w:link w:val="1"/>
    <w:uiPriority w:val="9"/>
    <w:qFormat/>
    <w:rPr>
      <w:rFonts w:asciiTheme="majorHAnsi" w:eastAsiaTheme="majorEastAsia" w:hAnsiTheme="majorHAnsi" w:cstheme="majorBidi"/>
      <w:color w:val="638C1B" w:themeColor="accent1" w:themeShade="BF"/>
      <w:sz w:val="32"/>
      <w:szCs w:val="32"/>
      <w:lang w:val="en-GB"/>
    </w:rPr>
  </w:style>
  <w:style w:type="character" w:customStyle="1" w:styleId="a4">
    <w:name w:val="批注文字 字符"/>
    <w:basedOn w:val="a0"/>
    <w:link w:val="a3"/>
    <w:qFormat/>
    <w:rPr>
      <w:sz w:val="20"/>
      <w:szCs w:val="20"/>
      <w:lang w:val="en-GB"/>
    </w:rPr>
  </w:style>
  <w:style w:type="character" w:customStyle="1" w:styleId="af5">
    <w:name w:val="批注主题 字符"/>
    <w:basedOn w:val="a4"/>
    <w:link w:val="af4"/>
    <w:uiPriority w:val="99"/>
    <w:semiHidden/>
    <w:qFormat/>
    <w:rPr>
      <w:b/>
      <w:bCs/>
      <w:sz w:val="20"/>
      <w:szCs w:val="20"/>
      <w:lang w:val="en-GB"/>
    </w:rPr>
  </w:style>
  <w:style w:type="character" w:customStyle="1" w:styleId="a6">
    <w:name w:val="正文文本 字符"/>
    <w:link w:val="a5"/>
    <w:qFormat/>
    <w:rPr>
      <w:rFonts w:ascii="华文楷体" w:eastAsia="LF_Kai" w:hAnsi="华文楷体" w:cs="Times New Roman"/>
      <w:sz w:val="24"/>
      <w:szCs w:val="20"/>
      <w:lang w:val="en-GB"/>
    </w:rPr>
  </w:style>
  <w:style w:type="character" w:customStyle="1" w:styleId="aa">
    <w:name w:val="尾注文本 字符"/>
    <w:basedOn w:val="a0"/>
    <w:link w:val="a9"/>
    <w:uiPriority w:val="99"/>
    <w:semiHidden/>
    <w:qFormat/>
    <w:rPr>
      <w:sz w:val="20"/>
      <w:szCs w:val="20"/>
      <w:lang w:val="en-GB"/>
    </w:rPr>
  </w:style>
  <w:style w:type="character" w:customStyle="1" w:styleId="ac">
    <w:name w:val="批注框文本 字符"/>
    <w:basedOn w:val="a0"/>
    <w:link w:val="ab"/>
    <w:uiPriority w:val="99"/>
    <w:semiHidden/>
    <w:qFormat/>
    <w:rPr>
      <w:rFonts w:ascii="Segoe UI" w:hAnsi="Segoe UI" w:cs="Segoe UI"/>
      <w:sz w:val="18"/>
      <w:szCs w:val="18"/>
      <w:lang w:val="en-GB"/>
    </w:rPr>
  </w:style>
  <w:style w:type="character" w:customStyle="1" w:styleId="ae">
    <w:name w:val="页脚 字符"/>
    <w:basedOn w:val="a0"/>
    <w:link w:val="ad"/>
    <w:uiPriority w:val="99"/>
    <w:qFormat/>
  </w:style>
  <w:style w:type="character" w:customStyle="1" w:styleId="af0">
    <w:name w:val="页眉 字符"/>
    <w:basedOn w:val="a0"/>
    <w:link w:val="af"/>
    <w:uiPriority w:val="99"/>
    <w:qFormat/>
  </w:style>
  <w:style w:type="character" w:customStyle="1" w:styleId="af2">
    <w:name w:val="脚注文本 字符"/>
    <w:basedOn w:val="a0"/>
    <w:link w:val="af1"/>
    <w:uiPriority w:val="99"/>
    <w:qFormat/>
    <w:rPr>
      <w:sz w:val="20"/>
      <w:szCs w:val="20"/>
      <w:lang w:val="en-GB"/>
    </w:rPr>
  </w:style>
  <w:style w:type="paragraph" w:styleId="aff">
    <w:name w:val="List Paragraph"/>
    <w:basedOn w:val="a"/>
    <w:link w:val="aff0"/>
    <w:uiPriority w:val="34"/>
    <w:qFormat/>
    <w:pPr>
      <w:ind w:left="720"/>
      <w:contextualSpacing/>
    </w:pPr>
  </w:style>
  <w:style w:type="character" w:customStyle="1" w:styleId="aff0">
    <w:name w:val="列表段落 字符"/>
    <w:link w:val="aff"/>
    <w:uiPriority w:val="34"/>
    <w:qFormat/>
    <w:rPr>
      <w:szCs w:val="22"/>
      <w:lang w:val="en-GB"/>
    </w:rPr>
  </w:style>
  <w:style w:type="character" w:customStyle="1" w:styleId="BodyTextChar1">
    <w:name w:val="Body Text Char1"/>
    <w:basedOn w:val="a0"/>
    <w:uiPriority w:val="99"/>
    <w:semiHidden/>
    <w:qFormat/>
    <w:rPr>
      <w:sz w:val="20"/>
      <w:lang w:val="en-GB"/>
    </w:rPr>
  </w:style>
  <w:style w:type="paragraph" w:customStyle="1" w:styleId="TableParagraph">
    <w:name w:val="Table Paragraph"/>
    <w:basedOn w:val="a"/>
    <w:uiPriority w:val="1"/>
    <w:qFormat/>
    <w:pPr>
      <w:widowControl w:val="0"/>
    </w:pPr>
    <w:rPr>
      <w:rFonts w:ascii="Verdana" w:eastAsia="宋体" w:hAnsi="Verdana"/>
      <w:sz w:val="22"/>
      <w:lang w:eastAsia="en-US"/>
    </w:rPr>
  </w:style>
  <w:style w:type="paragraph" w:customStyle="1" w:styleId="Revision1">
    <w:name w:val="Revision1"/>
    <w:hidden/>
    <w:uiPriority w:val="99"/>
    <w:semiHidden/>
    <w:qFormat/>
    <w:rPr>
      <w:rFonts w:asciiTheme="minorHAnsi" w:eastAsiaTheme="minorEastAsia" w:hAnsiTheme="minorHAnsi" w:cstheme="minorBidi"/>
      <w:szCs w:val="22"/>
      <w:lang w:val="en-GB"/>
    </w:rPr>
  </w:style>
  <w:style w:type="character" w:customStyle="1" w:styleId="font11">
    <w:name w:val="font11"/>
    <w:qFormat/>
    <w:rPr>
      <w:rFonts w:ascii="宋体" w:eastAsia="宋体" w:hAnsi="宋体" w:cs="宋体" w:hint="eastAsia"/>
      <w:color w:val="000000"/>
      <w:sz w:val="21"/>
      <w:szCs w:val="21"/>
      <w:u w:val="none"/>
    </w:rPr>
  </w:style>
  <w:style w:type="character" w:customStyle="1" w:styleId="font21">
    <w:name w:val="font21"/>
    <w:qFormat/>
    <w:rPr>
      <w:rFonts w:ascii="Times New Roman" w:hAnsi="Times New Roman" w:cs="Times New Roman" w:hint="default"/>
      <w:color w:val="000000"/>
      <w:sz w:val="21"/>
      <w:szCs w:val="21"/>
      <w:u w:val="none"/>
    </w:rPr>
  </w:style>
  <w:style w:type="table" w:customStyle="1" w:styleId="TableNormal1">
    <w:name w:val="Table Normal1"/>
    <w:uiPriority w:val="2"/>
    <w:semiHidden/>
    <w:unhideWhenUsed/>
    <w:qFormat/>
    <w:pPr>
      <w:widowControl w:val="0"/>
    </w:pPr>
    <w:rPr>
      <w:lang w:eastAsia="en-US"/>
    </w:rPr>
    <w:tblPr>
      <w:tblCellMar>
        <w:top w:w="0" w:type="dxa"/>
        <w:left w:w="0" w:type="dxa"/>
        <w:bottom w:w="0" w:type="dxa"/>
        <w:right w:w="0" w:type="dxa"/>
      </w:tblCellMar>
    </w:tblPr>
  </w:style>
  <w:style w:type="paragraph" w:customStyle="1" w:styleId="TOC10">
    <w:name w:val="TOC 标题1"/>
    <w:basedOn w:val="1"/>
    <w:next w:val="a"/>
    <w:uiPriority w:val="39"/>
    <w:unhideWhenUsed/>
    <w:qFormat/>
    <w:pPr>
      <w:spacing w:line="259" w:lineRule="auto"/>
      <w:outlineLvl w:val="9"/>
    </w:pPr>
    <w:rPr>
      <w:lang w:eastAsia="en-US"/>
    </w:rPr>
  </w:style>
  <w:style w:type="table" w:customStyle="1" w:styleId="TableGrid1">
    <w:name w:val="Table Grid1"/>
    <w:basedOn w:val="a1"/>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修订1"/>
    <w:hidden/>
    <w:uiPriority w:val="99"/>
    <w:semiHidden/>
    <w:qFormat/>
    <w:rPr>
      <w:rFonts w:eastAsia="Times New Roman"/>
      <w:sz w:val="24"/>
      <w:szCs w:val="24"/>
    </w:rPr>
  </w:style>
  <w:style w:type="table" w:customStyle="1" w:styleId="12">
    <w:name w:val="网格型1"/>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
    <w:name w:val="修订2"/>
    <w:hidden/>
    <w:uiPriority w:val="99"/>
    <w:semiHidden/>
    <w:qFormat/>
    <w:rPr>
      <w:rFonts w:eastAsia="Times New Roman"/>
      <w:sz w:val="24"/>
      <w:szCs w:val="24"/>
    </w:rPr>
  </w:style>
  <w:style w:type="paragraph" w:customStyle="1" w:styleId="31">
    <w:name w:val="修订3"/>
    <w:hidden/>
    <w:uiPriority w:val="99"/>
    <w:semiHidden/>
    <w:qFormat/>
    <w:rPr>
      <w:rFonts w:eastAsia="Times New Roman"/>
      <w:sz w:val="24"/>
      <w:szCs w:val="24"/>
    </w:rPr>
  </w:style>
  <w:style w:type="paragraph" w:customStyle="1" w:styleId="4">
    <w:name w:val="修订4"/>
    <w:hidden/>
    <w:uiPriority w:val="99"/>
    <w:semiHidden/>
    <w:qFormat/>
    <w:rPr>
      <w:rFonts w:eastAsia="Times New Roman"/>
      <w:sz w:val="24"/>
      <w:szCs w:val="24"/>
    </w:rPr>
  </w:style>
  <w:style w:type="character" w:customStyle="1" w:styleId="af7">
    <w:name w:val="正文文本首行缩进 字符"/>
    <w:basedOn w:val="a6"/>
    <w:link w:val="af6"/>
    <w:uiPriority w:val="99"/>
    <w:semiHidden/>
    <w:qFormat/>
    <w:rPr>
      <w:rFonts w:ascii="华文楷体" w:eastAsia="Times New Roman" w:hAnsi="华文楷体" w:cs="Times New Roman"/>
      <w:sz w:val="24"/>
      <w:szCs w:val="24"/>
      <w:lang w:val="en-GB"/>
    </w:rPr>
  </w:style>
  <w:style w:type="character" w:customStyle="1" w:styleId="13">
    <w:name w:val="未处理的提及1"/>
    <w:basedOn w:val="a0"/>
    <w:uiPriority w:val="99"/>
    <w:semiHidden/>
    <w:unhideWhenUsed/>
    <w:qFormat/>
    <w:rPr>
      <w:color w:val="605E5C"/>
      <w:shd w:val="clear" w:color="auto" w:fill="E1DFDD"/>
    </w:rPr>
  </w:style>
  <w:style w:type="paragraph" w:customStyle="1" w:styleId="14">
    <w:name w:val="列表段落1"/>
    <w:basedOn w:val="a"/>
    <w:uiPriority w:val="34"/>
    <w:qFormat/>
    <w:pPr>
      <w:ind w:firstLineChars="200" w:firstLine="420"/>
    </w:pPr>
    <w:rPr>
      <w:rFonts w:asciiTheme="minorHAnsi" w:eastAsiaTheme="minorEastAsia" w:hAnsiTheme="minorHAnsi" w:cstheme="minorBidi"/>
      <w:sz w:val="20"/>
      <w:szCs w:val="22"/>
      <w:lang w:val="en-GB"/>
    </w:rPr>
  </w:style>
  <w:style w:type="character" w:customStyle="1" w:styleId="20">
    <w:name w:val="未处理的提及2"/>
    <w:basedOn w:val="a0"/>
    <w:uiPriority w:val="99"/>
    <w:semiHidden/>
    <w:unhideWhenUsed/>
    <w:qFormat/>
    <w:rPr>
      <w:color w:val="605E5C"/>
      <w:shd w:val="clear" w:color="auto" w:fill="E1DFDD"/>
    </w:rPr>
  </w:style>
  <w:style w:type="paragraph" w:customStyle="1" w:styleId="5">
    <w:name w:val="修订5"/>
    <w:hidden/>
    <w:uiPriority w:val="99"/>
    <w:semiHidden/>
    <w:qFormat/>
    <w:rPr>
      <w:rFonts w:eastAsia="Times New Roman"/>
      <w:sz w:val="24"/>
      <w:szCs w:val="24"/>
    </w:rPr>
  </w:style>
  <w:style w:type="character" w:customStyle="1" w:styleId="a8">
    <w:name w:val="日期 字符"/>
    <w:basedOn w:val="a0"/>
    <w:link w:val="a7"/>
    <w:uiPriority w:val="99"/>
    <w:semiHidden/>
    <w:qFormat/>
    <w:rPr>
      <w:rFonts w:eastAsia="Times New Roman"/>
      <w:sz w:val="24"/>
      <w:szCs w:val="24"/>
    </w:rPr>
  </w:style>
  <w:style w:type="paragraph" w:customStyle="1" w:styleId="6">
    <w:name w:val="修订6"/>
    <w:hidden/>
    <w:uiPriority w:val="99"/>
    <w:semiHidden/>
    <w:qFormat/>
    <w:rPr>
      <w:rFonts w:eastAsia="Times New Roman"/>
      <w:sz w:val="24"/>
      <w:szCs w:val="24"/>
    </w:rPr>
  </w:style>
  <w:style w:type="paragraph" w:customStyle="1" w:styleId="7">
    <w:name w:val="修订7"/>
    <w:hidden/>
    <w:uiPriority w:val="99"/>
    <w:semiHidden/>
    <w:rPr>
      <w:rFonts w:eastAsia="Times New Roman"/>
      <w:sz w:val="24"/>
      <w:szCs w:val="24"/>
    </w:rPr>
  </w:style>
  <w:style w:type="paragraph" w:styleId="aff1">
    <w:name w:val="Revision"/>
    <w:hidden/>
    <w:uiPriority w:val="99"/>
    <w:semiHidden/>
    <w:rsid w:val="00F86F19"/>
    <w:rPr>
      <w:rFonts w:eastAsia="Times New Roman"/>
      <w:sz w:val="24"/>
      <w:szCs w:val="24"/>
    </w:rPr>
  </w:style>
  <w:style w:type="character" w:customStyle="1" w:styleId="30">
    <w:name w:val="标题 3 字符"/>
    <w:basedOn w:val="a0"/>
    <w:link w:val="3"/>
    <w:uiPriority w:val="9"/>
    <w:semiHidden/>
    <w:rsid w:val="00067586"/>
    <w:rPr>
      <w:rFonts w:eastAsia="Times New Roman"/>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826340">
      <w:bodyDiv w:val="1"/>
      <w:marLeft w:val="0"/>
      <w:marRight w:val="0"/>
      <w:marTop w:val="0"/>
      <w:marBottom w:val="0"/>
      <w:divBdr>
        <w:top w:val="none" w:sz="0" w:space="0" w:color="auto"/>
        <w:left w:val="none" w:sz="0" w:space="0" w:color="auto"/>
        <w:bottom w:val="none" w:sz="0" w:space="0" w:color="auto"/>
        <w:right w:val="none" w:sz="0" w:space="0" w:color="auto"/>
      </w:divBdr>
    </w:div>
    <w:div w:id="56367489">
      <w:bodyDiv w:val="1"/>
      <w:marLeft w:val="0"/>
      <w:marRight w:val="0"/>
      <w:marTop w:val="0"/>
      <w:marBottom w:val="0"/>
      <w:divBdr>
        <w:top w:val="none" w:sz="0" w:space="0" w:color="auto"/>
        <w:left w:val="none" w:sz="0" w:space="0" w:color="auto"/>
        <w:bottom w:val="none" w:sz="0" w:space="0" w:color="auto"/>
        <w:right w:val="none" w:sz="0" w:space="0" w:color="auto"/>
      </w:divBdr>
    </w:div>
    <w:div w:id="56632658">
      <w:bodyDiv w:val="1"/>
      <w:marLeft w:val="0"/>
      <w:marRight w:val="0"/>
      <w:marTop w:val="0"/>
      <w:marBottom w:val="0"/>
      <w:divBdr>
        <w:top w:val="none" w:sz="0" w:space="0" w:color="auto"/>
        <w:left w:val="none" w:sz="0" w:space="0" w:color="auto"/>
        <w:bottom w:val="none" w:sz="0" w:space="0" w:color="auto"/>
        <w:right w:val="none" w:sz="0" w:space="0" w:color="auto"/>
      </w:divBdr>
    </w:div>
    <w:div w:id="132524593">
      <w:bodyDiv w:val="1"/>
      <w:marLeft w:val="0"/>
      <w:marRight w:val="0"/>
      <w:marTop w:val="0"/>
      <w:marBottom w:val="0"/>
      <w:divBdr>
        <w:top w:val="none" w:sz="0" w:space="0" w:color="auto"/>
        <w:left w:val="none" w:sz="0" w:space="0" w:color="auto"/>
        <w:bottom w:val="none" w:sz="0" w:space="0" w:color="auto"/>
        <w:right w:val="none" w:sz="0" w:space="0" w:color="auto"/>
      </w:divBdr>
    </w:div>
    <w:div w:id="132792829">
      <w:bodyDiv w:val="1"/>
      <w:marLeft w:val="0"/>
      <w:marRight w:val="0"/>
      <w:marTop w:val="0"/>
      <w:marBottom w:val="0"/>
      <w:divBdr>
        <w:top w:val="none" w:sz="0" w:space="0" w:color="auto"/>
        <w:left w:val="none" w:sz="0" w:space="0" w:color="auto"/>
        <w:bottom w:val="none" w:sz="0" w:space="0" w:color="auto"/>
        <w:right w:val="none" w:sz="0" w:space="0" w:color="auto"/>
      </w:divBdr>
    </w:div>
    <w:div w:id="148717327">
      <w:bodyDiv w:val="1"/>
      <w:marLeft w:val="0"/>
      <w:marRight w:val="0"/>
      <w:marTop w:val="0"/>
      <w:marBottom w:val="0"/>
      <w:divBdr>
        <w:top w:val="none" w:sz="0" w:space="0" w:color="auto"/>
        <w:left w:val="none" w:sz="0" w:space="0" w:color="auto"/>
        <w:bottom w:val="none" w:sz="0" w:space="0" w:color="auto"/>
        <w:right w:val="none" w:sz="0" w:space="0" w:color="auto"/>
      </w:divBdr>
    </w:div>
    <w:div w:id="171645146">
      <w:bodyDiv w:val="1"/>
      <w:marLeft w:val="0"/>
      <w:marRight w:val="0"/>
      <w:marTop w:val="0"/>
      <w:marBottom w:val="0"/>
      <w:divBdr>
        <w:top w:val="none" w:sz="0" w:space="0" w:color="auto"/>
        <w:left w:val="none" w:sz="0" w:space="0" w:color="auto"/>
        <w:bottom w:val="none" w:sz="0" w:space="0" w:color="auto"/>
        <w:right w:val="none" w:sz="0" w:space="0" w:color="auto"/>
      </w:divBdr>
    </w:div>
    <w:div w:id="175660594">
      <w:bodyDiv w:val="1"/>
      <w:marLeft w:val="0"/>
      <w:marRight w:val="0"/>
      <w:marTop w:val="0"/>
      <w:marBottom w:val="0"/>
      <w:divBdr>
        <w:top w:val="none" w:sz="0" w:space="0" w:color="auto"/>
        <w:left w:val="none" w:sz="0" w:space="0" w:color="auto"/>
        <w:bottom w:val="none" w:sz="0" w:space="0" w:color="auto"/>
        <w:right w:val="none" w:sz="0" w:space="0" w:color="auto"/>
      </w:divBdr>
    </w:div>
    <w:div w:id="182136811">
      <w:bodyDiv w:val="1"/>
      <w:marLeft w:val="0"/>
      <w:marRight w:val="0"/>
      <w:marTop w:val="0"/>
      <w:marBottom w:val="0"/>
      <w:divBdr>
        <w:top w:val="none" w:sz="0" w:space="0" w:color="auto"/>
        <w:left w:val="none" w:sz="0" w:space="0" w:color="auto"/>
        <w:bottom w:val="none" w:sz="0" w:space="0" w:color="auto"/>
        <w:right w:val="none" w:sz="0" w:space="0" w:color="auto"/>
      </w:divBdr>
    </w:div>
    <w:div w:id="196700736">
      <w:bodyDiv w:val="1"/>
      <w:marLeft w:val="0"/>
      <w:marRight w:val="0"/>
      <w:marTop w:val="0"/>
      <w:marBottom w:val="0"/>
      <w:divBdr>
        <w:top w:val="none" w:sz="0" w:space="0" w:color="auto"/>
        <w:left w:val="none" w:sz="0" w:space="0" w:color="auto"/>
        <w:bottom w:val="none" w:sz="0" w:space="0" w:color="auto"/>
        <w:right w:val="none" w:sz="0" w:space="0" w:color="auto"/>
      </w:divBdr>
    </w:div>
    <w:div w:id="207449497">
      <w:bodyDiv w:val="1"/>
      <w:marLeft w:val="0"/>
      <w:marRight w:val="0"/>
      <w:marTop w:val="0"/>
      <w:marBottom w:val="0"/>
      <w:divBdr>
        <w:top w:val="none" w:sz="0" w:space="0" w:color="auto"/>
        <w:left w:val="none" w:sz="0" w:space="0" w:color="auto"/>
        <w:bottom w:val="none" w:sz="0" w:space="0" w:color="auto"/>
        <w:right w:val="none" w:sz="0" w:space="0" w:color="auto"/>
      </w:divBdr>
    </w:div>
    <w:div w:id="223025459">
      <w:bodyDiv w:val="1"/>
      <w:marLeft w:val="0"/>
      <w:marRight w:val="0"/>
      <w:marTop w:val="0"/>
      <w:marBottom w:val="0"/>
      <w:divBdr>
        <w:top w:val="none" w:sz="0" w:space="0" w:color="auto"/>
        <w:left w:val="none" w:sz="0" w:space="0" w:color="auto"/>
        <w:bottom w:val="none" w:sz="0" w:space="0" w:color="auto"/>
        <w:right w:val="none" w:sz="0" w:space="0" w:color="auto"/>
      </w:divBdr>
    </w:div>
    <w:div w:id="236978849">
      <w:bodyDiv w:val="1"/>
      <w:marLeft w:val="0"/>
      <w:marRight w:val="0"/>
      <w:marTop w:val="0"/>
      <w:marBottom w:val="0"/>
      <w:divBdr>
        <w:top w:val="none" w:sz="0" w:space="0" w:color="auto"/>
        <w:left w:val="none" w:sz="0" w:space="0" w:color="auto"/>
        <w:bottom w:val="none" w:sz="0" w:space="0" w:color="auto"/>
        <w:right w:val="none" w:sz="0" w:space="0" w:color="auto"/>
      </w:divBdr>
    </w:div>
    <w:div w:id="352658555">
      <w:bodyDiv w:val="1"/>
      <w:marLeft w:val="0"/>
      <w:marRight w:val="0"/>
      <w:marTop w:val="0"/>
      <w:marBottom w:val="0"/>
      <w:divBdr>
        <w:top w:val="none" w:sz="0" w:space="0" w:color="auto"/>
        <w:left w:val="none" w:sz="0" w:space="0" w:color="auto"/>
        <w:bottom w:val="none" w:sz="0" w:space="0" w:color="auto"/>
        <w:right w:val="none" w:sz="0" w:space="0" w:color="auto"/>
      </w:divBdr>
    </w:div>
    <w:div w:id="376588934">
      <w:bodyDiv w:val="1"/>
      <w:marLeft w:val="0"/>
      <w:marRight w:val="0"/>
      <w:marTop w:val="0"/>
      <w:marBottom w:val="0"/>
      <w:divBdr>
        <w:top w:val="none" w:sz="0" w:space="0" w:color="auto"/>
        <w:left w:val="none" w:sz="0" w:space="0" w:color="auto"/>
        <w:bottom w:val="none" w:sz="0" w:space="0" w:color="auto"/>
        <w:right w:val="none" w:sz="0" w:space="0" w:color="auto"/>
      </w:divBdr>
    </w:div>
    <w:div w:id="386606780">
      <w:bodyDiv w:val="1"/>
      <w:marLeft w:val="0"/>
      <w:marRight w:val="0"/>
      <w:marTop w:val="0"/>
      <w:marBottom w:val="0"/>
      <w:divBdr>
        <w:top w:val="none" w:sz="0" w:space="0" w:color="auto"/>
        <w:left w:val="none" w:sz="0" w:space="0" w:color="auto"/>
        <w:bottom w:val="none" w:sz="0" w:space="0" w:color="auto"/>
        <w:right w:val="none" w:sz="0" w:space="0" w:color="auto"/>
      </w:divBdr>
    </w:div>
    <w:div w:id="403332784">
      <w:bodyDiv w:val="1"/>
      <w:marLeft w:val="0"/>
      <w:marRight w:val="0"/>
      <w:marTop w:val="0"/>
      <w:marBottom w:val="0"/>
      <w:divBdr>
        <w:top w:val="none" w:sz="0" w:space="0" w:color="auto"/>
        <w:left w:val="none" w:sz="0" w:space="0" w:color="auto"/>
        <w:bottom w:val="none" w:sz="0" w:space="0" w:color="auto"/>
        <w:right w:val="none" w:sz="0" w:space="0" w:color="auto"/>
      </w:divBdr>
    </w:div>
    <w:div w:id="434521037">
      <w:bodyDiv w:val="1"/>
      <w:marLeft w:val="0"/>
      <w:marRight w:val="0"/>
      <w:marTop w:val="0"/>
      <w:marBottom w:val="0"/>
      <w:divBdr>
        <w:top w:val="none" w:sz="0" w:space="0" w:color="auto"/>
        <w:left w:val="none" w:sz="0" w:space="0" w:color="auto"/>
        <w:bottom w:val="none" w:sz="0" w:space="0" w:color="auto"/>
        <w:right w:val="none" w:sz="0" w:space="0" w:color="auto"/>
      </w:divBdr>
    </w:div>
    <w:div w:id="506290616">
      <w:bodyDiv w:val="1"/>
      <w:marLeft w:val="0"/>
      <w:marRight w:val="0"/>
      <w:marTop w:val="0"/>
      <w:marBottom w:val="0"/>
      <w:divBdr>
        <w:top w:val="none" w:sz="0" w:space="0" w:color="auto"/>
        <w:left w:val="none" w:sz="0" w:space="0" w:color="auto"/>
        <w:bottom w:val="none" w:sz="0" w:space="0" w:color="auto"/>
        <w:right w:val="none" w:sz="0" w:space="0" w:color="auto"/>
      </w:divBdr>
    </w:div>
    <w:div w:id="538782734">
      <w:bodyDiv w:val="1"/>
      <w:marLeft w:val="0"/>
      <w:marRight w:val="0"/>
      <w:marTop w:val="0"/>
      <w:marBottom w:val="0"/>
      <w:divBdr>
        <w:top w:val="none" w:sz="0" w:space="0" w:color="auto"/>
        <w:left w:val="none" w:sz="0" w:space="0" w:color="auto"/>
        <w:bottom w:val="none" w:sz="0" w:space="0" w:color="auto"/>
        <w:right w:val="none" w:sz="0" w:space="0" w:color="auto"/>
      </w:divBdr>
    </w:div>
    <w:div w:id="580795623">
      <w:bodyDiv w:val="1"/>
      <w:marLeft w:val="0"/>
      <w:marRight w:val="0"/>
      <w:marTop w:val="0"/>
      <w:marBottom w:val="0"/>
      <w:divBdr>
        <w:top w:val="none" w:sz="0" w:space="0" w:color="auto"/>
        <w:left w:val="none" w:sz="0" w:space="0" w:color="auto"/>
        <w:bottom w:val="none" w:sz="0" w:space="0" w:color="auto"/>
        <w:right w:val="none" w:sz="0" w:space="0" w:color="auto"/>
      </w:divBdr>
    </w:div>
    <w:div w:id="591474112">
      <w:bodyDiv w:val="1"/>
      <w:marLeft w:val="0"/>
      <w:marRight w:val="0"/>
      <w:marTop w:val="0"/>
      <w:marBottom w:val="0"/>
      <w:divBdr>
        <w:top w:val="none" w:sz="0" w:space="0" w:color="auto"/>
        <w:left w:val="none" w:sz="0" w:space="0" w:color="auto"/>
        <w:bottom w:val="none" w:sz="0" w:space="0" w:color="auto"/>
        <w:right w:val="none" w:sz="0" w:space="0" w:color="auto"/>
      </w:divBdr>
    </w:div>
    <w:div w:id="616445998">
      <w:bodyDiv w:val="1"/>
      <w:marLeft w:val="0"/>
      <w:marRight w:val="0"/>
      <w:marTop w:val="0"/>
      <w:marBottom w:val="0"/>
      <w:divBdr>
        <w:top w:val="none" w:sz="0" w:space="0" w:color="auto"/>
        <w:left w:val="none" w:sz="0" w:space="0" w:color="auto"/>
        <w:bottom w:val="none" w:sz="0" w:space="0" w:color="auto"/>
        <w:right w:val="none" w:sz="0" w:space="0" w:color="auto"/>
      </w:divBdr>
    </w:div>
    <w:div w:id="638152858">
      <w:bodyDiv w:val="1"/>
      <w:marLeft w:val="0"/>
      <w:marRight w:val="0"/>
      <w:marTop w:val="0"/>
      <w:marBottom w:val="0"/>
      <w:divBdr>
        <w:top w:val="none" w:sz="0" w:space="0" w:color="auto"/>
        <w:left w:val="none" w:sz="0" w:space="0" w:color="auto"/>
        <w:bottom w:val="none" w:sz="0" w:space="0" w:color="auto"/>
        <w:right w:val="none" w:sz="0" w:space="0" w:color="auto"/>
      </w:divBdr>
    </w:div>
    <w:div w:id="662273650">
      <w:bodyDiv w:val="1"/>
      <w:marLeft w:val="0"/>
      <w:marRight w:val="0"/>
      <w:marTop w:val="0"/>
      <w:marBottom w:val="0"/>
      <w:divBdr>
        <w:top w:val="none" w:sz="0" w:space="0" w:color="auto"/>
        <w:left w:val="none" w:sz="0" w:space="0" w:color="auto"/>
        <w:bottom w:val="none" w:sz="0" w:space="0" w:color="auto"/>
        <w:right w:val="none" w:sz="0" w:space="0" w:color="auto"/>
      </w:divBdr>
    </w:div>
    <w:div w:id="807161728">
      <w:bodyDiv w:val="1"/>
      <w:marLeft w:val="0"/>
      <w:marRight w:val="0"/>
      <w:marTop w:val="0"/>
      <w:marBottom w:val="0"/>
      <w:divBdr>
        <w:top w:val="none" w:sz="0" w:space="0" w:color="auto"/>
        <w:left w:val="none" w:sz="0" w:space="0" w:color="auto"/>
        <w:bottom w:val="none" w:sz="0" w:space="0" w:color="auto"/>
        <w:right w:val="none" w:sz="0" w:space="0" w:color="auto"/>
      </w:divBdr>
    </w:div>
    <w:div w:id="807631280">
      <w:bodyDiv w:val="1"/>
      <w:marLeft w:val="0"/>
      <w:marRight w:val="0"/>
      <w:marTop w:val="0"/>
      <w:marBottom w:val="0"/>
      <w:divBdr>
        <w:top w:val="none" w:sz="0" w:space="0" w:color="auto"/>
        <w:left w:val="none" w:sz="0" w:space="0" w:color="auto"/>
        <w:bottom w:val="none" w:sz="0" w:space="0" w:color="auto"/>
        <w:right w:val="none" w:sz="0" w:space="0" w:color="auto"/>
      </w:divBdr>
    </w:div>
    <w:div w:id="836388725">
      <w:bodyDiv w:val="1"/>
      <w:marLeft w:val="0"/>
      <w:marRight w:val="0"/>
      <w:marTop w:val="0"/>
      <w:marBottom w:val="0"/>
      <w:divBdr>
        <w:top w:val="none" w:sz="0" w:space="0" w:color="auto"/>
        <w:left w:val="none" w:sz="0" w:space="0" w:color="auto"/>
        <w:bottom w:val="none" w:sz="0" w:space="0" w:color="auto"/>
        <w:right w:val="none" w:sz="0" w:space="0" w:color="auto"/>
      </w:divBdr>
    </w:div>
    <w:div w:id="840269298">
      <w:bodyDiv w:val="1"/>
      <w:marLeft w:val="0"/>
      <w:marRight w:val="0"/>
      <w:marTop w:val="0"/>
      <w:marBottom w:val="0"/>
      <w:divBdr>
        <w:top w:val="none" w:sz="0" w:space="0" w:color="auto"/>
        <w:left w:val="none" w:sz="0" w:space="0" w:color="auto"/>
        <w:bottom w:val="none" w:sz="0" w:space="0" w:color="auto"/>
        <w:right w:val="none" w:sz="0" w:space="0" w:color="auto"/>
      </w:divBdr>
    </w:div>
    <w:div w:id="904143566">
      <w:bodyDiv w:val="1"/>
      <w:marLeft w:val="0"/>
      <w:marRight w:val="0"/>
      <w:marTop w:val="0"/>
      <w:marBottom w:val="0"/>
      <w:divBdr>
        <w:top w:val="none" w:sz="0" w:space="0" w:color="auto"/>
        <w:left w:val="none" w:sz="0" w:space="0" w:color="auto"/>
        <w:bottom w:val="none" w:sz="0" w:space="0" w:color="auto"/>
        <w:right w:val="none" w:sz="0" w:space="0" w:color="auto"/>
      </w:divBdr>
    </w:div>
    <w:div w:id="961378820">
      <w:bodyDiv w:val="1"/>
      <w:marLeft w:val="0"/>
      <w:marRight w:val="0"/>
      <w:marTop w:val="0"/>
      <w:marBottom w:val="0"/>
      <w:divBdr>
        <w:top w:val="none" w:sz="0" w:space="0" w:color="auto"/>
        <w:left w:val="none" w:sz="0" w:space="0" w:color="auto"/>
        <w:bottom w:val="none" w:sz="0" w:space="0" w:color="auto"/>
        <w:right w:val="none" w:sz="0" w:space="0" w:color="auto"/>
      </w:divBdr>
    </w:div>
    <w:div w:id="962492436">
      <w:bodyDiv w:val="1"/>
      <w:marLeft w:val="0"/>
      <w:marRight w:val="0"/>
      <w:marTop w:val="0"/>
      <w:marBottom w:val="0"/>
      <w:divBdr>
        <w:top w:val="none" w:sz="0" w:space="0" w:color="auto"/>
        <w:left w:val="none" w:sz="0" w:space="0" w:color="auto"/>
        <w:bottom w:val="none" w:sz="0" w:space="0" w:color="auto"/>
        <w:right w:val="none" w:sz="0" w:space="0" w:color="auto"/>
      </w:divBdr>
    </w:div>
    <w:div w:id="978917595">
      <w:bodyDiv w:val="1"/>
      <w:marLeft w:val="0"/>
      <w:marRight w:val="0"/>
      <w:marTop w:val="0"/>
      <w:marBottom w:val="0"/>
      <w:divBdr>
        <w:top w:val="none" w:sz="0" w:space="0" w:color="auto"/>
        <w:left w:val="none" w:sz="0" w:space="0" w:color="auto"/>
        <w:bottom w:val="none" w:sz="0" w:space="0" w:color="auto"/>
        <w:right w:val="none" w:sz="0" w:space="0" w:color="auto"/>
      </w:divBdr>
    </w:div>
    <w:div w:id="1034695469">
      <w:bodyDiv w:val="1"/>
      <w:marLeft w:val="0"/>
      <w:marRight w:val="0"/>
      <w:marTop w:val="0"/>
      <w:marBottom w:val="0"/>
      <w:divBdr>
        <w:top w:val="none" w:sz="0" w:space="0" w:color="auto"/>
        <w:left w:val="none" w:sz="0" w:space="0" w:color="auto"/>
        <w:bottom w:val="none" w:sz="0" w:space="0" w:color="auto"/>
        <w:right w:val="none" w:sz="0" w:space="0" w:color="auto"/>
      </w:divBdr>
    </w:div>
    <w:div w:id="1046487258">
      <w:bodyDiv w:val="1"/>
      <w:marLeft w:val="0"/>
      <w:marRight w:val="0"/>
      <w:marTop w:val="0"/>
      <w:marBottom w:val="0"/>
      <w:divBdr>
        <w:top w:val="none" w:sz="0" w:space="0" w:color="auto"/>
        <w:left w:val="none" w:sz="0" w:space="0" w:color="auto"/>
        <w:bottom w:val="none" w:sz="0" w:space="0" w:color="auto"/>
        <w:right w:val="none" w:sz="0" w:space="0" w:color="auto"/>
      </w:divBdr>
    </w:div>
    <w:div w:id="1070234847">
      <w:bodyDiv w:val="1"/>
      <w:marLeft w:val="0"/>
      <w:marRight w:val="0"/>
      <w:marTop w:val="0"/>
      <w:marBottom w:val="0"/>
      <w:divBdr>
        <w:top w:val="none" w:sz="0" w:space="0" w:color="auto"/>
        <w:left w:val="none" w:sz="0" w:space="0" w:color="auto"/>
        <w:bottom w:val="none" w:sz="0" w:space="0" w:color="auto"/>
        <w:right w:val="none" w:sz="0" w:space="0" w:color="auto"/>
      </w:divBdr>
    </w:div>
    <w:div w:id="1090465054">
      <w:bodyDiv w:val="1"/>
      <w:marLeft w:val="0"/>
      <w:marRight w:val="0"/>
      <w:marTop w:val="0"/>
      <w:marBottom w:val="0"/>
      <w:divBdr>
        <w:top w:val="none" w:sz="0" w:space="0" w:color="auto"/>
        <w:left w:val="none" w:sz="0" w:space="0" w:color="auto"/>
        <w:bottom w:val="none" w:sz="0" w:space="0" w:color="auto"/>
        <w:right w:val="none" w:sz="0" w:space="0" w:color="auto"/>
      </w:divBdr>
    </w:div>
    <w:div w:id="1127700777">
      <w:bodyDiv w:val="1"/>
      <w:marLeft w:val="0"/>
      <w:marRight w:val="0"/>
      <w:marTop w:val="0"/>
      <w:marBottom w:val="0"/>
      <w:divBdr>
        <w:top w:val="none" w:sz="0" w:space="0" w:color="auto"/>
        <w:left w:val="none" w:sz="0" w:space="0" w:color="auto"/>
        <w:bottom w:val="none" w:sz="0" w:space="0" w:color="auto"/>
        <w:right w:val="none" w:sz="0" w:space="0" w:color="auto"/>
      </w:divBdr>
    </w:div>
    <w:div w:id="1156648625">
      <w:bodyDiv w:val="1"/>
      <w:marLeft w:val="0"/>
      <w:marRight w:val="0"/>
      <w:marTop w:val="0"/>
      <w:marBottom w:val="0"/>
      <w:divBdr>
        <w:top w:val="none" w:sz="0" w:space="0" w:color="auto"/>
        <w:left w:val="none" w:sz="0" w:space="0" w:color="auto"/>
        <w:bottom w:val="none" w:sz="0" w:space="0" w:color="auto"/>
        <w:right w:val="none" w:sz="0" w:space="0" w:color="auto"/>
      </w:divBdr>
    </w:div>
    <w:div w:id="1170752236">
      <w:bodyDiv w:val="1"/>
      <w:marLeft w:val="0"/>
      <w:marRight w:val="0"/>
      <w:marTop w:val="0"/>
      <w:marBottom w:val="0"/>
      <w:divBdr>
        <w:top w:val="none" w:sz="0" w:space="0" w:color="auto"/>
        <w:left w:val="none" w:sz="0" w:space="0" w:color="auto"/>
        <w:bottom w:val="none" w:sz="0" w:space="0" w:color="auto"/>
        <w:right w:val="none" w:sz="0" w:space="0" w:color="auto"/>
      </w:divBdr>
    </w:div>
    <w:div w:id="1180582827">
      <w:bodyDiv w:val="1"/>
      <w:marLeft w:val="0"/>
      <w:marRight w:val="0"/>
      <w:marTop w:val="0"/>
      <w:marBottom w:val="0"/>
      <w:divBdr>
        <w:top w:val="none" w:sz="0" w:space="0" w:color="auto"/>
        <w:left w:val="none" w:sz="0" w:space="0" w:color="auto"/>
        <w:bottom w:val="none" w:sz="0" w:space="0" w:color="auto"/>
        <w:right w:val="none" w:sz="0" w:space="0" w:color="auto"/>
      </w:divBdr>
    </w:div>
    <w:div w:id="1205602854">
      <w:bodyDiv w:val="1"/>
      <w:marLeft w:val="0"/>
      <w:marRight w:val="0"/>
      <w:marTop w:val="0"/>
      <w:marBottom w:val="0"/>
      <w:divBdr>
        <w:top w:val="none" w:sz="0" w:space="0" w:color="auto"/>
        <w:left w:val="none" w:sz="0" w:space="0" w:color="auto"/>
        <w:bottom w:val="none" w:sz="0" w:space="0" w:color="auto"/>
        <w:right w:val="none" w:sz="0" w:space="0" w:color="auto"/>
      </w:divBdr>
    </w:div>
    <w:div w:id="1220165455">
      <w:bodyDiv w:val="1"/>
      <w:marLeft w:val="0"/>
      <w:marRight w:val="0"/>
      <w:marTop w:val="0"/>
      <w:marBottom w:val="0"/>
      <w:divBdr>
        <w:top w:val="none" w:sz="0" w:space="0" w:color="auto"/>
        <w:left w:val="none" w:sz="0" w:space="0" w:color="auto"/>
        <w:bottom w:val="none" w:sz="0" w:space="0" w:color="auto"/>
        <w:right w:val="none" w:sz="0" w:space="0" w:color="auto"/>
      </w:divBdr>
    </w:div>
    <w:div w:id="1223754824">
      <w:bodyDiv w:val="1"/>
      <w:marLeft w:val="0"/>
      <w:marRight w:val="0"/>
      <w:marTop w:val="0"/>
      <w:marBottom w:val="0"/>
      <w:divBdr>
        <w:top w:val="none" w:sz="0" w:space="0" w:color="auto"/>
        <w:left w:val="none" w:sz="0" w:space="0" w:color="auto"/>
        <w:bottom w:val="none" w:sz="0" w:space="0" w:color="auto"/>
        <w:right w:val="none" w:sz="0" w:space="0" w:color="auto"/>
      </w:divBdr>
    </w:div>
    <w:div w:id="1258177153">
      <w:bodyDiv w:val="1"/>
      <w:marLeft w:val="0"/>
      <w:marRight w:val="0"/>
      <w:marTop w:val="0"/>
      <w:marBottom w:val="0"/>
      <w:divBdr>
        <w:top w:val="none" w:sz="0" w:space="0" w:color="auto"/>
        <w:left w:val="none" w:sz="0" w:space="0" w:color="auto"/>
        <w:bottom w:val="none" w:sz="0" w:space="0" w:color="auto"/>
        <w:right w:val="none" w:sz="0" w:space="0" w:color="auto"/>
      </w:divBdr>
    </w:div>
    <w:div w:id="1389184817">
      <w:bodyDiv w:val="1"/>
      <w:marLeft w:val="0"/>
      <w:marRight w:val="0"/>
      <w:marTop w:val="0"/>
      <w:marBottom w:val="0"/>
      <w:divBdr>
        <w:top w:val="none" w:sz="0" w:space="0" w:color="auto"/>
        <w:left w:val="none" w:sz="0" w:space="0" w:color="auto"/>
        <w:bottom w:val="none" w:sz="0" w:space="0" w:color="auto"/>
        <w:right w:val="none" w:sz="0" w:space="0" w:color="auto"/>
      </w:divBdr>
    </w:div>
    <w:div w:id="1416591507">
      <w:bodyDiv w:val="1"/>
      <w:marLeft w:val="0"/>
      <w:marRight w:val="0"/>
      <w:marTop w:val="0"/>
      <w:marBottom w:val="0"/>
      <w:divBdr>
        <w:top w:val="none" w:sz="0" w:space="0" w:color="auto"/>
        <w:left w:val="none" w:sz="0" w:space="0" w:color="auto"/>
        <w:bottom w:val="none" w:sz="0" w:space="0" w:color="auto"/>
        <w:right w:val="none" w:sz="0" w:space="0" w:color="auto"/>
      </w:divBdr>
    </w:div>
    <w:div w:id="1432317484">
      <w:bodyDiv w:val="1"/>
      <w:marLeft w:val="0"/>
      <w:marRight w:val="0"/>
      <w:marTop w:val="0"/>
      <w:marBottom w:val="0"/>
      <w:divBdr>
        <w:top w:val="none" w:sz="0" w:space="0" w:color="auto"/>
        <w:left w:val="none" w:sz="0" w:space="0" w:color="auto"/>
        <w:bottom w:val="none" w:sz="0" w:space="0" w:color="auto"/>
        <w:right w:val="none" w:sz="0" w:space="0" w:color="auto"/>
      </w:divBdr>
    </w:div>
    <w:div w:id="1498230779">
      <w:bodyDiv w:val="1"/>
      <w:marLeft w:val="0"/>
      <w:marRight w:val="0"/>
      <w:marTop w:val="0"/>
      <w:marBottom w:val="0"/>
      <w:divBdr>
        <w:top w:val="none" w:sz="0" w:space="0" w:color="auto"/>
        <w:left w:val="none" w:sz="0" w:space="0" w:color="auto"/>
        <w:bottom w:val="none" w:sz="0" w:space="0" w:color="auto"/>
        <w:right w:val="none" w:sz="0" w:space="0" w:color="auto"/>
      </w:divBdr>
    </w:div>
    <w:div w:id="1567060909">
      <w:bodyDiv w:val="1"/>
      <w:marLeft w:val="0"/>
      <w:marRight w:val="0"/>
      <w:marTop w:val="0"/>
      <w:marBottom w:val="0"/>
      <w:divBdr>
        <w:top w:val="none" w:sz="0" w:space="0" w:color="auto"/>
        <w:left w:val="none" w:sz="0" w:space="0" w:color="auto"/>
        <w:bottom w:val="none" w:sz="0" w:space="0" w:color="auto"/>
        <w:right w:val="none" w:sz="0" w:space="0" w:color="auto"/>
      </w:divBdr>
    </w:div>
    <w:div w:id="1581253777">
      <w:bodyDiv w:val="1"/>
      <w:marLeft w:val="0"/>
      <w:marRight w:val="0"/>
      <w:marTop w:val="0"/>
      <w:marBottom w:val="0"/>
      <w:divBdr>
        <w:top w:val="none" w:sz="0" w:space="0" w:color="auto"/>
        <w:left w:val="none" w:sz="0" w:space="0" w:color="auto"/>
        <w:bottom w:val="none" w:sz="0" w:space="0" w:color="auto"/>
        <w:right w:val="none" w:sz="0" w:space="0" w:color="auto"/>
      </w:divBdr>
    </w:div>
    <w:div w:id="1593277010">
      <w:bodyDiv w:val="1"/>
      <w:marLeft w:val="0"/>
      <w:marRight w:val="0"/>
      <w:marTop w:val="0"/>
      <w:marBottom w:val="0"/>
      <w:divBdr>
        <w:top w:val="none" w:sz="0" w:space="0" w:color="auto"/>
        <w:left w:val="none" w:sz="0" w:space="0" w:color="auto"/>
        <w:bottom w:val="none" w:sz="0" w:space="0" w:color="auto"/>
        <w:right w:val="none" w:sz="0" w:space="0" w:color="auto"/>
      </w:divBdr>
    </w:div>
    <w:div w:id="1643730487">
      <w:bodyDiv w:val="1"/>
      <w:marLeft w:val="0"/>
      <w:marRight w:val="0"/>
      <w:marTop w:val="0"/>
      <w:marBottom w:val="0"/>
      <w:divBdr>
        <w:top w:val="none" w:sz="0" w:space="0" w:color="auto"/>
        <w:left w:val="none" w:sz="0" w:space="0" w:color="auto"/>
        <w:bottom w:val="none" w:sz="0" w:space="0" w:color="auto"/>
        <w:right w:val="none" w:sz="0" w:space="0" w:color="auto"/>
      </w:divBdr>
    </w:div>
    <w:div w:id="1656913123">
      <w:bodyDiv w:val="1"/>
      <w:marLeft w:val="0"/>
      <w:marRight w:val="0"/>
      <w:marTop w:val="0"/>
      <w:marBottom w:val="0"/>
      <w:divBdr>
        <w:top w:val="none" w:sz="0" w:space="0" w:color="auto"/>
        <w:left w:val="none" w:sz="0" w:space="0" w:color="auto"/>
        <w:bottom w:val="none" w:sz="0" w:space="0" w:color="auto"/>
        <w:right w:val="none" w:sz="0" w:space="0" w:color="auto"/>
      </w:divBdr>
    </w:div>
    <w:div w:id="1754930940">
      <w:bodyDiv w:val="1"/>
      <w:marLeft w:val="0"/>
      <w:marRight w:val="0"/>
      <w:marTop w:val="0"/>
      <w:marBottom w:val="0"/>
      <w:divBdr>
        <w:top w:val="none" w:sz="0" w:space="0" w:color="auto"/>
        <w:left w:val="none" w:sz="0" w:space="0" w:color="auto"/>
        <w:bottom w:val="none" w:sz="0" w:space="0" w:color="auto"/>
        <w:right w:val="none" w:sz="0" w:space="0" w:color="auto"/>
      </w:divBdr>
    </w:div>
    <w:div w:id="1784225116">
      <w:bodyDiv w:val="1"/>
      <w:marLeft w:val="0"/>
      <w:marRight w:val="0"/>
      <w:marTop w:val="0"/>
      <w:marBottom w:val="0"/>
      <w:divBdr>
        <w:top w:val="none" w:sz="0" w:space="0" w:color="auto"/>
        <w:left w:val="none" w:sz="0" w:space="0" w:color="auto"/>
        <w:bottom w:val="none" w:sz="0" w:space="0" w:color="auto"/>
        <w:right w:val="none" w:sz="0" w:space="0" w:color="auto"/>
      </w:divBdr>
    </w:div>
    <w:div w:id="1840389044">
      <w:bodyDiv w:val="1"/>
      <w:marLeft w:val="0"/>
      <w:marRight w:val="0"/>
      <w:marTop w:val="0"/>
      <w:marBottom w:val="0"/>
      <w:divBdr>
        <w:top w:val="none" w:sz="0" w:space="0" w:color="auto"/>
        <w:left w:val="none" w:sz="0" w:space="0" w:color="auto"/>
        <w:bottom w:val="none" w:sz="0" w:space="0" w:color="auto"/>
        <w:right w:val="none" w:sz="0" w:space="0" w:color="auto"/>
      </w:divBdr>
    </w:div>
    <w:div w:id="1841457999">
      <w:bodyDiv w:val="1"/>
      <w:marLeft w:val="0"/>
      <w:marRight w:val="0"/>
      <w:marTop w:val="0"/>
      <w:marBottom w:val="0"/>
      <w:divBdr>
        <w:top w:val="none" w:sz="0" w:space="0" w:color="auto"/>
        <w:left w:val="none" w:sz="0" w:space="0" w:color="auto"/>
        <w:bottom w:val="none" w:sz="0" w:space="0" w:color="auto"/>
        <w:right w:val="none" w:sz="0" w:space="0" w:color="auto"/>
      </w:divBdr>
    </w:div>
    <w:div w:id="1856840844">
      <w:bodyDiv w:val="1"/>
      <w:marLeft w:val="0"/>
      <w:marRight w:val="0"/>
      <w:marTop w:val="0"/>
      <w:marBottom w:val="0"/>
      <w:divBdr>
        <w:top w:val="none" w:sz="0" w:space="0" w:color="auto"/>
        <w:left w:val="none" w:sz="0" w:space="0" w:color="auto"/>
        <w:bottom w:val="none" w:sz="0" w:space="0" w:color="auto"/>
        <w:right w:val="none" w:sz="0" w:space="0" w:color="auto"/>
      </w:divBdr>
    </w:div>
    <w:div w:id="1861313858">
      <w:bodyDiv w:val="1"/>
      <w:marLeft w:val="0"/>
      <w:marRight w:val="0"/>
      <w:marTop w:val="0"/>
      <w:marBottom w:val="0"/>
      <w:divBdr>
        <w:top w:val="none" w:sz="0" w:space="0" w:color="auto"/>
        <w:left w:val="none" w:sz="0" w:space="0" w:color="auto"/>
        <w:bottom w:val="none" w:sz="0" w:space="0" w:color="auto"/>
        <w:right w:val="none" w:sz="0" w:space="0" w:color="auto"/>
      </w:divBdr>
    </w:div>
    <w:div w:id="1880429782">
      <w:bodyDiv w:val="1"/>
      <w:marLeft w:val="0"/>
      <w:marRight w:val="0"/>
      <w:marTop w:val="0"/>
      <w:marBottom w:val="0"/>
      <w:divBdr>
        <w:top w:val="none" w:sz="0" w:space="0" w:color="auto"/>
        <w:left w:val="none" w:sz="0" w:space="0" w:color="auto"/>
        <w:bottom w:val="none" w:sz="0" w:space="0" w:color="auto"/>
        <w:right w:val="none" w:sz="0" w:space="0" w:color="auto"/>
      </w:divBdr>
    </w:div>
    <w:div w:id="1907495427">
      <w:bodyDiv w:val="1"/>
      <w:marLeft w:val="0"/>
      <w:marRight w:val="0"/>
      <w:marTop w:val="0"/>
      <w:marBottom w:val="0"/>
      <w:divBdr>
        <w:top w:val="none" w:sz="0" w:space="0" w:color="auto"/>
        <w:left w:val="none" w:sz="0" w:space="0" w:color="auto"/>
        <w:bottom w:val="none" w:sz="0" w:space="0" w:color="auto"/>
        <w:right w:val="none" w:sz="0" w:space="0" w:color="auto"/>
      </w:divBdr>
    </w:div>
    <w:div w:id="1941833550">
      <w:bodyDiv w:val="1"/>
      <w:marLeft w:val="0"/>
      <w:marRight w:val="0"/>
      <w:marTop w:val="0"/>
      <w:marBottom w:val="0"/>
      <w:divBdr>
        <w:top w:val="none" w:sz="0" w:space="0" w:color="auto"/>
        <w:left w:val="none" w:sz="0" w:space="0" w:color="auto"/>
        <w:bottom w:val="none" w:sz="0" w:space="0" w:color="auto"/>
        <w:right w:val="none" w:sz="0" w:space="0" w:color="auto"/>
      </w:divBdr>
    </w:div>
    <w:div w:id="1955016422">
      <w:bodyDiv w:val="1"/>
      <w:marLeft w:val="0"/>
      <w:marRight w:val="0"/>
      <w:marTop w:val="0"/>
      <w:marBottom w:val="0"/>
      <w:divBdr>
        <w:top w:val="none" w:sz="0" w:space="0" w:color="auto"/>
        <w:left w:val="none" w:sz="0" w:space="0" w:color="auto"/>
        <w:bottom w:val="none" w:sz="0" w:space="0" w:color="auto"/>
        <w:right w:val="none" w:sz="0" w:space="0" w:color="auto"/>
      </w:divBdr>
    </w:div>
    <w:div w:id="1985041653">
      <w:bodyDiv w:val="1"/>
      <w:marLeft w:val="0"/>
      <w:marRight w:val="0"/>
      <w:marTop w:val="0"/>
      <w:marBottom w:val="0"/>
      <w:divBdr>
        <w:top w:val="none" w:sz="0" w:space="0" w:color="auto"/>
        <w:left w:val="none" w:sz="0" w:space="0" w:color="auto"/>
        <w:bottom w:val="none" w:sz="0" w:space="0" w:color="auto"/>
        <w:right w:val="none" w:sz="0" w:space="0" w:color="auto"/>
      </w:divBdr>
    </w:div>
    <w:div w:id="1993024359">
      <w:bodyDiv w:val="1"/>
      <w:marLeft w:val="0"/>
      <w:marRight w:val="0"/>
      <w:marTop w:val="0"/>
      <w:marBottom w:val="0"/>
      <w:divBdr>
        <w:top w:val="none" w:sz="0" w:space="0" w:color="auto"/>
        <w:left w:val="none" w:sz="0" w:space="0" w:color="auto"/>
        <w:bottom w:val="none" w:sz="0" w:space="0" w:color="auto"/>
        <w:right w:val="none" w:sz="0" w:space="0" w:color="auto"/>
      </w:divBdr>
    </w:div>
    <w:div w:id="1998025783">
      <w:bodyDiv w:val="1"/>
      <w:marLeft w:val="0"/>
      <w:marRight w:val="0"/>
      <w:marTop w:val="0"/>
      <w:marBottom w:val="0"/>
      <w:divBdr>
        <w:top w:val="none" w:sz="0" w:space="0" w:color="auto"/>
        <w:left w:val="none" w:sz="0" w:space="0" w:color="auto"/>
        <w:bottom w:val="none" w:sz="0" w:space="0" w:color="auto"/>
        <w:right w:val="none" w:sz="0" w:space="0" w:color="auto"/>
      </w:divBdr>
    </w:div>
    <w:div w:id="2040423401">
      <w:bodyDiv w:val="1"/>
      <w:marLeft w:val="0"/>
      <w:marRight w:val="0"/>
      <w:marTop w:val="0"/>
      <w:marBottom w:val="0"/>
      <w:divBdr>
        <w:top w:val="none" w:sz="0" w:space="0" w:color="auto"/>
        <w:left w:val="none" w:sz="0" w:space="0" w:color="auto"/>
        <w:bottom w:val="none" w:sz="0" w:space="0" w:color="auto"/>
        <w:right w:val="none" w:sz="0" w:space="0" w:color="auto"/>
      </w:divBdr>
    </w:div>
    <w:div w:id="2046058305">
      <w:bodyDiv w:val="1"/>
      <w:marLeft w:val="0"/>
      <w:marRight w:val="0"/>
      <w:marTop w:val="0"/>
      <w:marBottom w:val="0"/>
      <w:divBdr>
        <w:top w:val="none" w:sz="0" w:space="0" w:color="auto"/>
        <w:left w:val="none" w:sz="0" w:space="0" w:color="auto"/>
        <w:bottom w:val="none" w:sz="0" w:space="0" w:color="auto"/>
        <w:right w:val="none" w:sz="0" w:space="0" w:color="auto"/>
      </w:divBdr>
    </w:div>
    <w:div w:id="2082949711">
      <w:bodyDiv w:val="1"/>
      <w:marLeft w:val="0"/>
      <w:marRight w:val="0"/>
      <w:marTop w:val="0"/>
      <w:marBottom w:val="0"/>
      <w:divBdr>
        <w:top w:val="none" w:sz="0" w:space="0" w:color="auto"/>
        <w:left w:val="none" w:sz="0" w:space="0" w:color="auto"/>
        <w:bottom w:val="none" w:sz="0" w:space="0" w:color="auto"/>
        <w:right w:val="none" w:sz="0" w:space="0" w:color="auto"/>
      </w:divBdr>
    </w:div>
    <w:div w:id="2090153280">
      <w:bodyDiv w:val="1"/>
      <w:marLeft w:val="0"/>
      <w:marRight w:val="0"/>
      <w:marTop w:val="0"/>
      <w:marBottom w:val="0"/>
      <w:divBdr>
        <w:top w:val="none" w:sz="0" w:space="0" w:color="auto"/>
        <w:left w:val="none" w:sz="0" w:space="0" w:color="auto"/>
        <w:bottom w:val="none" w:sz="0" w:space="0" w:color="auto"/>
        <w:right w:val="none" w:sz="0" w:space="0" w:color="auto"/>
      </w:divBdr>
    </w:div>
    <w:div w:id="2091581550">
      <w:bodyDiv w:val="1"/>
      <w:marLeft w:val="0"/>
      <w:marRight w:val="0"/>
      <w:marTop w:val="0"/>
      <w:marBottom w:val="0"/>
      <w:divBdr>
        <w:top w:val="none" w:sz="0" w:space="0" w:color="auto"/>
        <w:left w:val="none" w:sz="0" w:space="0" w:color="auto"/>
        <w:bottom w:val="none" w:sz="0" w:space="0" w:color="auto"/>
        <w:right w:val="none" w:sz="0" w:space="0" w:color="auto"/>
      </w:divBdr>
    </w:div>
    <w:div w:id="2093892838">
      <w:bodyDiv w:val="1"/>
      <w:marLeft w:val="0"/>
      <w:marRight w:val="0"/>
      <w:marTop w:val="0"/>
      <w:marBottom w:val="0"/>
      <w:divBdr>
        <w:top w:val="none" w:sz="0" w:space="0" w:color="auto"/>
        <w:left w:val="none" w:sz="0" w:space="0" w:color="auto"/>
        <w:bottom w:val="none" w:sz="0" w:space="0" w:color="auto"/>
        <w:right w:val="none" w:sz="0" w:space="0" w:color="auto"/>
      </w:divBdr>
    </w:div>
    <w:div w:id="21298175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footer" Target="footer7.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 Id="rId22" Type="http://schemas.openxmlformats.org/officeDocument/2006/relationships/footer" Target="footer8.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charts/_rels/chart1.xml.rels><?xml version="1.0" encoding="UTF-8" standalone="yes"?>
<Relationships xmlns="http://schemas.openxmlformats.org/package/2006/relationships"><Relationship Id="rId1" Type="http://schemas.openxmlformats.org/officeDocument/2006/relationships/oleObject" Target="file:///C:\Users\yoyqu\Desktop\&#29615;&#25237;&#38598;&#22242;&#25171;&#21253;&#27979;&#31639;&#24213;&#31295;-24&#24180;12&#26376;&#35843;&#21058;1121.xlsm"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00" b="0" i="0" u="none" strike="noStrike" kern="1200" spc="0" baseline="0">
                <a:solidFill>
                  <a:schemeClr val="tx1">
                    <a:lumMod val="65000"/>
                    <a:lumOff val="35000"/>
                  </a:schemeClr>
                </a:solidFill>
                <a:latin typeface="华文细黑" panose="02010600040101010101" pitchFamily="2" charset="-122"/>
                <a:ea typeface="华文细黑" panose="02010600040101010101" pitchFamily="2" charset="-122"/>
                <a:cs typeface="华文楷体" panose="02010600040101010101" charset="-122"/>
                <a:sym typeface="华文楷体" panose="02010600040101010101" charset="-122"/>
              </a:defRPr>
            </a:pPr>
            <a:r>
              <a:rPr lang="zh-CN" sz="1000"/>
              <a:t>单位：人民币万元</a:t>
            </a:r>
            <a:endParaRPr lang="en-US" sz="1000"/>
          </a:p>
        </c:rich>
      </c:tx>
      <c:layout>
        <c:manualLayout>
          <c:xMode val="edge"/>
          <c:yMode val="edge"/>
          <c:x val="0.10879629629629629"/>
          <c:y val="2.6229508196721311E-2"/>
        </c:manualLayout>
      </c:layout>
      <c:overlay val="0"/>
      <c:spPr>
        <a:noFill/>
        <a:ln>
          <a:noFill/>
        </a:ln>
        <a:effectLst/>
      </c:spPr>
    </c:title>
    <c:autoTitleDeleted val="0"/>
    <c:plotArea>
      <c:layout/>
      <c:barChart>
        <c:barDir val="col"/>
        <c:grouping val="clustered"/>
        <c:varyColors val="0"/>
        <c:ser>
          <c:idx val="0"/>
          <c:order val="0"/>
          <c:spPr>
            <a:solidFill>
              <a:srgbClr val="0070C0"/>
            </a:solidFill>
            <a:ln>
              <a:noFill/>
            </a:ln>
            <a:effectLst/>
          </c:spPr>
          <c:invertIfNegative val="0"/>
          <c:dLbls>
            <c:spPr>
              <a:noFill/>
              <a:ln>
                <a:noFill/>
              </a:ln>
              <a:effectLst/>
            </c:spPr>
            <c:txPr>
              <a:bodyPr spcFirstLastPara="1" vertOverflow="ellipsis" vert="eaVert" wrap="square" anchor="ctr" anchorCtr="1"/>
              <a:lstStyle/>
              <a:p>
                <a:pPr>
                  <a:defRPr lang="zh-CN" sz="900" b="0" i="0" u="none" strike="noStrike" kern="1200" baseline="0">
                    <a:solidFill>
                      <a:schemeClr val="tx1">
                        <a:lumMod val="75000"/>
                        <a:lumOff val="25000"/>
                      </a:schemeClr>
                    </a:solidFill>
                    <a:latin typeface="华文细黑" panose="02010600040101010101" pitchFamily="2" charset="-122"/>
                    <a:ea typeface="华文细黑" panose="02010600040101010101" pitchFamily="2" charset="-122"/>
                    <a:cs typeface="华文楷体" panose="02010600040101010101" charset="-122"/>
                    <a:sym typeface="华文楷体" panose="02010600040101010101" charset="-122"/>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现金流模拟测算表!$H$2:$X$2</c:f>
              <c:strCache>
                <c:ptCount val="17"/>
                <c:pt idx="0">
                  <c:v>2023及以前年度</c:v>
                </c:pt>
                <c:pt idx="1">
                  <c:v>2024</c:v>
                </c:pt>
                <c:pt idx="2">
                  <c:v>2025</c:v>
                </c:pt>
                <c:pt idx="3">
                  <c:v>2026</c:v>
                </c:pt>
                <c:pt idx="4">
                  <c:v>2027</c:v>
                </c:pt>
                <c:pt idx="5">
                  <c:v>2028</c:v>
                </c:pt>
                <c:pt idx="6">
                  <c:v>2029</c:v>
                </c:pt>
                <c:pt idx="7">
                  <c:v>2030</c:v>
                </c:pt>
                <c:pt idx="8">
                  <c:v>2031</c:v>
                </c:pt>
                <c:pt idx="9">
                  <c:v>2032</c:v>
                </c:pt>
                <c:pt idx="10">
                  <c:v>2033</c:v>
                </c:pt>
                <c:pt idx="11">
                  <c:v>2034</c:v>
                </c:pt>
                <c:pt idx="12">
                  <c:v>2035</c:v>
                </c:pt>
                <c:pt idx="13">
                  <c:v>2036</c:v>
                </c:pt>
                <c:pt idx="14">
                  <c:v>2037</c:v>
                </c:pt>
                <c:pt idx="15">
                  <c:v>2038</c:v>
                </c:pt>
                <c:pt idx="16">
                  <c:v>2039</c:v>
                </c:pt>
              </c:strCache>
            </c:strRef>
          </c:cat>
          <c:val>
            <c:numRef>
              <c:f>现金流模拟测算表!$H$23:$X$23</c:f>
              <c:numCache>
                <c:formatCode>_(* #,##0.00_);_(* \(#,##0.00\);_(* "-"??_);_(@_)</c:formatCode>
                <c:ptCount val="17"/>
                <c:pt idx="0">
                  <c:v>0</c:v>
                </c:pt>
                <c:pt idx="1">
                  <c:v>0</c:v>
                </c:pt>
                <c:pt idx="2">
                  <c:v>8824.91</c:v>
                </c:pt>
                <c:pt idx="3">
                  <c:v>15639.795999999998</c:v>
                </c:pt>
                <c:pt idx="4">
                  <c:v>22454.681999999997</c:v>
                </c:pt>
                <c:pt idx="5">
                  <c:v>13369.567999999996</c:v>
                </c:pt>
                <c:pt idx="6">
                  <c:v>20613.753999999994</c:v>
                </c:pt>
                <c:pt idx="7">
                  <c:v>27857.939999999995</c:v>
                </c:pt>
                <c:pt idx="8">
                  <c:v>35102.125999999997</c:v>
                </c:pt>
                <c:pt idx="9">
                  <c:v>33087.621999999996</c:v>
                </c:pt>
                <c:pt idx="10">
                  <c:v>31927.059999999998</c:v>
                </c:pt>
                <c:pt idx="11">
                  <c:v>38714.42</c:v>
                </c:pt>
                <c:pt idx="12">
                  <c:v>46524.68</c:v>
                </c:pt>
                <c:pt idx="13">
                  <c:v>54334.94</c:v>
                </c:pt>
                <c:pt idx="14">
                  <c:v>31145.200000000001</c:v>
                </c:pt>
                <c:pt idx="15">
                  <c:v>39414.635000000002</c:v>
                </c:pt>
                <c:pt idx="16">
                  <c:v>46191.544999999998</c:v>
                </c:pt>
              </c:numCache>
            </c:numRef>
          </c:val>
          <c:extLst>
            <c:ext xmlns:c16="http://schemas.microsoft.com/office/drawing/2014/chart" uri="{C3380CC4-5D6E-409C-BE32-E72D297353CC}">
              <c16:uniqueId val="{00000000-F8EB-452B-AFB7-B9E12D7FC6AE}"/>
            </c:ext>
          </c:extLst>
        </c:ser>
        <c:dLbls>
          <c:showLegendKey val="0"/>
          <c:showVal val="0"/>
          <c:showCatName val="0"/>
          <c:showSerName val="0"/>
          <c:showPercent val="0"/>
          <c:showBubbleSize val="0"/>
        </c:dLbls>
        <c:gapWidth val="129"/>
        <c:overlap val="-67"/>
        <c:axId val="501556952"/>
        <c:axId val="501557608"/>
      </c:barChart>
      <c:catAx>
        <c:axId val="5015569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华文细黑" panose="02010600040101010101" pitchFamily="2" charset="-122"/>
                <a:ea typeface="华文细黑" panose="02010600040101010101" pitchFamily="2" charset="-122"/>
                <a:cs typeface="华文楷体" panose="02010600040101010101" charset="-122"/>
                <a:sym typeface="华文楷体" panose="02010600040101010101" charset="-122"/>
              </a:defRPr>
            </a:pPr>
            <a:endParaRPr lang="zh-CN"/>
          </a:p>
        </c:txPr>
        <c:crossAx val="501557608"/>
        <c:crosses val="autoZero"/>
        <c:auto val="1"/>
        <c:lblAlgn val="ctr"/>
        <c:lblOffset val="100"/>
        <c:noMultiLvlLbl val="0"/>
      </c:catAx>
      <c:valAx>
        <c:axId val="501557608"/>
        <c:scaling>
          <c:orientation val="minMax"/>
        </c:scaling>
        <c:delete val="0"/>
        <c:axPos val="l"/>
        <c:majorGridlines>
          <c:spPr>
            <a:ln w="9525" cap="flat" cmpd="sng" algn="ctr">
              <a:solidFill>
                <a:schemeClr val="tx1">
                  <a:lumMod val="15000"/>
                  <a:lumOff val="85000"/>
                </a:schemeClr>
              </a:solidFill>
              <a:round/>
            </a:ln>
            <a:effectLst/>
          </c:spPr>
        </c:majorGridlines>
        <c:numFmt formatCode="_(* #,##0.00_);_(* \(#,##0.00\);_(* &quot;-&quot;??_);_(@_)"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华文细黑" panose="02010600040101010101" pitchFamily="2" charset="-122"/>
                <a:ea typeface="华文细黑" panose="02010600040101010101" pitchFamily="2" charset="-122"/>
                <a:cs typeface="华文楷体" panose="02010600040101010101" charset="-122"/>
                <a:sym typeface="华文楷体" panose="02010600040101010101" charset="-122"/>
              </a:defRPr>
            </a:pPr>
            <a:endParaRPr lang="zh-CN"/>
          </a:p>
        </c:txPr>
        <c:crossAx val="501556952"/>
        <c:crosses val="autoZero"/>
        <c:crossBetween val="between"/>
      </c:valAx>
      <c:spPr>
        <a:noFill/>
        <a:ln w="25400">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latin typeface="华文细黑" panose="02010600040101010101" pitchFamily="2" charset="-122"/>
          <a:ea typeface="华文细黑" panose="02010600040101010101" pitchFamily="2" charset="-122"/>
          <a:cs typeface="华文楷体" panose="02010600040101010101" charset="-122"/>
          <a:sym typeface="华文楷体" panose="02010600040101010101" charset="-122"/>
        </a:defRPr>
      </a:pPr>
      <a:endParaRPr lang="zh-CN"/>
    </a:p>
  </c:txPr>
  <c:externalData r:id="rId1">
    <c:autoUpdate val="0"/>
  </c:externalData>
</c:chartSpace>
</file>

<file path=word/theme/theme1.xml><?xml version="1.0" encoding="utf-8"?>
<a:theme xmlns:a="http://schemas.openxmlformats.org/drawingml/2006/main" name="Deloitte_US_Letter_Print Theme">
  <a:themeElements>
    <a:clrScheme name="Deloitte colour theme">
      <a:dk1>
        <a:sysClr val="windowText" lastClr="000000"/>
      </a:dk1>
      <a:lt1>
        <a:sysClr val="window" lastClr="FFFFFF"/>
      </a:lt1>
      <a:dk2>
        <a:srgbClr val="44546A"/>
      </a:dk2>
      <a:lt2>
        <a:srgbClr val="E7E6E6"/>
      </a:lt2>
      <a:accent1>
        <a:srgbClr val="86BC25"/>
      </a:accent1>
      <a:accent2>
        <a:srgbClr val="2C5234"/>
      </a:accent2>
      <a:accent3>
        <a:srgbClr val="00A3E0"/>
      </a:accent3>
      <a:accent4>
        <a:srgbClr val="012169"/>
      </a:accent4>
      <a:accent5>
        <a:srgbClr val="0097A9"/>
      </a:accent5>
      <a:accent6>
        <a:srgbClr val="75787B"/>
      </a:accent6>
      <a:hlink>
        <a:srgbClr val="00A3E0"/>
      </a:hlink>
      <a:folHlink>
        <a:srgbClr val="954F72"/>
      </a:folHlink>
    </a:clrScheme>
    <a:fontScheme name="Deloitte Powerpoint font">
      <a:majorFont>
        <a:latin typeface="Verdana"/>
        <a:ea typeface=""/>
        <a:cs typeface=""/>
      </a:majorFont>
      <a:minorFont>
        <a:latin typeface="Verdan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bwMode="gray">
        <a:solidFill>
          <a:schemeClr val="accent3"/>
        </a:solidFill>
        <a:ln w="19050" algn="ctr">
          <a:noFill/>
          <a:miter lim="800000"/>
        </a:ln>
      </a:spPr>
      <a:bodyPr wrap="square" lIns="88900" tIns="88900" rIns="88900" bIns="88900" rtlCol="0" anchor="ctr"/>
      <a:lstStyle/>
    </a:spDef>
    <a:lnDef>
      <a:spPr>
        <a:ln>
          <a:solidFill>
            <a:schemeClr val="tx2"/>
          </a:solidFill>
        </a:ln>
      </a:spPr>
      <a:bodyPr/>
      <a:lstStyle/>
      <a:style>
        <a:lnRef idx="1">
          <a:schemeClr val="accent1"/>
        </a:lnRef>
        <a:fillRef idx="0">
          <a:schemeClr val="accent1"/>
        </a:fillRef>
        <a:effectRef idx="0">
          <a:schemeClr val="accent1"/>
        </a:effectRef>
        <a:fontRef idx="minor">
          <a:schemeClr val="tx1"/>
        </a:fontRef>
      </a:style>
    </a:lnDef>
    <a:txDef>
      <a:spPr>
        <a:noFill/>
      </a:spPr>
      <a:bodyPr wrap="square" lIns="0" tIns="0" rIns="0" bIns="0" rtlCol="0">
        <a:spAutoFit/>
      </a:bodyPr>
      <a:lstStyle/>
    </a:txDef>
  </a:objectDefaults>
  <a:extraClrSchemeLst/>
  <a:custClrLst>
    <a:custClr name="Green 7">
      <a:srgbClr val="2C5234"/>
    </a:custClr>
    <a:custClr name="Green 6">
      <a:srgbClr val="046A38"/>
    </a:custClr>
    <a:custClr name="Green 5">
      <a:srgbClr val="009A44"/>
    </a:custClr>
    <a:custClr name="Green 4">
      <a:srgbClr val="43B02A"/>
    </a:custClr>
    <a:custClr name="Deloitte Green">
      <a:srgbClr val="86BC25"/>
    </a:custClr>
    <a:custClr name="Green 2">
      <a:srgbClr val="C4D600"/>
    </a:custClr>
    <a:custClr name="Green 1">
      <a:srgbClr val="E3E48D"/>
    </a:custClr>
    <a:custClr name="Teal 7">
      <a:srgbClr val="004F59"/>
    </a:custClr>
    <a:custClr name="Teal 6">
      <a:srgbClr val="007680"/>
    </a:custClr>
    <a:custClr name="Teal 5">
      <a:srgbClr val="0097A9"/>
    </a:custClr>
    <a:custClr name="Teal 4">
      <a:srgbClr val="00ABAB"/>
    </a:custClr>
    <a:custClr name="Teal 3">
      <a:srgbClr val="6FC2B4"/>
    </a:custClr>
    <a:custClr name="Teal 2">
      <a:srgbClr val="9DD4CF"/>
    </a:custClr>
    <a:custClr name="Teal 1">
      <a:srgbClr val="DDEFE8"/>
    </a:custClr>
    <a:custClr name="Blue 7">
      <a:srgbClr val="041E42"/>
    </a:custClr>
    <a:custClr name="Blue 6">
      <a:srgbClr val="012169"/>
    </a:custClr>
    <a:custClr name="Blue 5">
      <a:srgbClr val="005587"/>
    </a:custClr>
    <a:custClr name="Blue 4">
      <a:srgbClr val="0076A8"/>
    </a:custClr>
    <a:custClr name="Blue 3">
      <a:srgbClr val="00A3E0"/>
    </a:custClr>
    <a:custClr name="Blue 2">
      <a:srgbClr val="62B5E5"/>
    </a:custClr>
    <a:custClr name="Blue 1">
      <a:srgbClr val="A0DCFF"/>
    </a:custClr>
    <a:custClr name="Cool Gray 11">
      <a:srgbClr val="53565A"/>
    </a:custClr>
    <a:custClr name="Cool Gray 10">
      <a:srgbClr val="63666A"/>
    </a:custClr>
    <a:custClr name="Cool Gray 9">
      <a:srgbClr val="75787B"/>
    </a:custClr>
    <a:custClr name="Cool Gray 7">
      <a:srgbClr val="97999B"/>
    </a:custClr>
    <a:custClr name="Cool Gray 6">
      <a:srgbClr val="A7A8AA"/>
    </a:custClr>
    <a:custClr name="Cool Gray 4">
      <a:srgbClr val="BBBCBC"/>
    </a:custClr>
    <a:custClr name="Cool Gray 2">
      <a:srgbClr val="D0D0CE"/>
    </a:custClr>
    <a:custClr name="White">
      <a:srgbClr val="FFFFFF"/>
    </a:custClr>
    <a:custClr name="Black">
      <a:srgbClr val="000000"/>
    </a:custClr>
    <a:custClr name="Red">
      <a:srgbClr val="DA291C"/>
    </a:custClr>
    <a:custClr name="Orange">
      <a:srgbClr val="ED8B00"/>
    </a:custClr>
    <a:custClr name="Yellow">
      <a:srgbClr val="FFCD00"/>
    </a:custClr>
  </a:custClr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EAA889-BBB3-4881-A3AC-6E48FD39EF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438</TotalTime>
  <Pages>28</Pages>
  <Words>3062</Words>
  <Characters>17456</Characters>
  <Application>Microsoft Office Word</Application>
  <DocSecurity>0</DocSecurity>
  <Lines>145</Lines>
  <Paragraphs>40</Paragraphs>
  <ScaleCrop>false</ScaleCrop>
  <Company>Deloitte Touche Tohmatsu Services, Inc.</Company>
  <LinksUpToDate>false</LinksUpToDate>
  <CharactersWithSpaces>20478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Jason Xuanhong Wan</dc:creator>
  <cp:lastModifiedBy>DTT</cp:lastModifiedBy>
  <cp:revision>148</cp:revision>
  <cp:lastPrinted>2021-05-09T03:45:00Z</cp:lastPrinted>
  <dcterms:created xsi:type="dcterms:W3CDTF">2024-06-24T08:17:00Z</dcterms:created>
  <dcterms:modified xsi:type="dcterms:W3CDTF">2024-12-06T03:29:00Z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EBE9ACF15C064EB083950C1AEDADC2DE</vt:lpwstr>
  </property>
</Properties>
</file>